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57C0" w14:textId="77777777" w:rsidR="00384D10" w:rsidRDefault="00384D10">
      <w:pPr>
        <w:jc w:val="center"/>
        <w:rPr>
          <w:rFonts w:ascii="Segoe UI" w:hAnsi="Segoe UI" w:cs="Segoe UI"/>
          <w:b/>
          <w:sz w:val="36"/>
          <w:szCs w:val="36"/>
          <w:u w:val="single"/>
        </w:rPr>
      </w:pPr>
    </w:p>
    <w:p w14:paraId="65E3B685" w14:textId="5CCEBFD2" w:rsidR="00BA1667" w:rsidRDefault="00EF6FE8" w:rsidP="002E068C">
      <w:pPr>
        <w:jc w:val="center"/>
        <w:rPr>
          <w:rFonts w:ascii="Segoe UI" w:hAnsi="Segoe UI" w:cs="Segoe UI"/>
          <w:b/>
          <w:sz w:val="36"/>
          <w:szCs w:val="36"/>
          <w:u w:val="single"/>
        </w:rPr>
      </w:pPr>
      <w:r w:rsidRPr="00EF6FE8">
        <w:rPr>
          <w:rFonts w:ascii="Segoe UI" w:hAnsi="Segoe UI" w:cs="Segoe UI"/>
          <w:b/>
          <w:noProof/>
          <w:sz w:val="36"/>
          <w:szCs w:val="36"/>
          <w:u w:val="single"/>
        </w:rPr>
        <w:drawing>
          <wp:inline distT="0" distB="0" distL="0" distR="0" wp14:anchorId="02A1D3B4" wp14:editId="34626CD3">
            <wp:extent cx="5257800" cy="5257800"/>
            <wp:effectExtent l="0" t="0" r="0" b="0"/>
            <wp:docPr id="41" name="Picture 40" descr="A logo with a tree in the middle&#10;&#10;Description automatically generated">
              <a:extLst xmlns:a="http://schemas.openxmlformats.org/drawingml/2006/main">
                <a:ext uri="{FF2B5EF4-FFF2-40B4-BE49-F238E27FC236}">
                  <a16:creationId xmlns:a16="http://schemas.microsoft.com/office/drawing/2014/main" id="{66608F36-909B-8C9C-D594-29052E4079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descr="A logo with a tree in the middle&#10;&#10;Description automatically generated">
                      <a:extLst>
                        <a:ext uri="{FF2B5EF4-FFF2-40B4-BE49-F238E27FC236}">
                          <a16:creationId xmlns:a16="http://schemas.microsoft.com/office/drawing/2014/main" id="{66608F36-909B-8C9C-D594-29052E40798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8007" cy="5278007"/>
                    </a:xfrm>
                    <a:prstGeom prst="rect">
                      <a:avLst/>
                    </a:prstGeom>
                  </pic:spPr>
                </pic:pic>
              </a:graphicData>
            </a:graphic>
          </wp:inline>
        </w:drawing>
      </w:r>
    </w:p>
    <w:p w14:paraId="6BDDEBB3" w14:textId="77777777" w:rsidR="00421557" w:rsidRDefault="00421557">
      <w:pPr>
        <w:jc w:val="center"/>
        <w:rPr>
          <w:rFonts w:ascii="Segoe UI" w:hAnsi="Segoe UI" w:cs="Segoe UI"/>
          <w:b/>
          <w:sz w:val="36"/>
          <w:szCs w:val="36"/>
          <w:u w:val="single"/>
        </w:rPr>
      </w:pPr>
    </w:p>
    <w:p w14:paraId="3BA814A2" w14:textId="5A2BA727" w:rsidR="00384D10" w:rsidRDefault="002E068C" w:rsidP="4F63A121">
      <w:pPr>
        <w:jc w:val="center"/>
        <w:rPr>
          <w:rFonts w:ascii="Segoe UI" w:hAnsi="Segoe UI" w:cs="Segoe UI"/>
          <w:b/>
          <w:bCs/>
          <w:sz w:val="36"/>
          <w:szCs w:val="36"/>
          <w:u w:val="single"/>
        </w:rPr>
      </w:pPr>
      <w:r>
        <w:rPr>
          <w:noProof/>
        </w:rPr>
        <mc:AlternateContent>
          <mc:Choice Requires="wps">
            <w:drawing>
              <wp:inline distT="0" distB="0" distL="114300" distR="114300" wp14:anchorId="57B86ADE" wp14:editId="1F9F9728">
                <wp:extent cx="5372100" cy="3390900"/>
                <wp:effectExtent l="0" t="0" r="0" b="0"/>
                <wp:docPr id="13824144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3390900"/>
                        </a:xfrm>
                        <a:prstGeom prst="rect">
                          <a:avLst/>
                        </a:prstGeom>
                        <a:noFill/>
                        <a:ln w="6350">
                          <a:noFill/>
                        </a:ln>
                      </wps:spPr>
                      <wps:txbx>
                        <w:txbxContent>
                          <w:p w14:paraId="6B2BD3FB" w14:textId="77777777" w:rsidR="00E06CDF" w:rsidRDefault="00E06CDF" w:rsidP="00E66367">
                            <w:pPr>
                              <w:spacing w:line="256" w:lineRule="auto"/>
                              <w:jc w:val="center"/>
                              <w:rPr>
                                <w:rFonts w:ascii="Calibri" w:hAnsi="Calibri" w:cs="Calibri"/>
                                <w:b/>
                                <w:bCs/>
                                <w:sz w:val="52"/>
                                <w:szCs w:val="52"/>
                              </w:rPr>
                            </w:pPr>
                          </w:p>
                          <w:p w14:paraId="61A754E7" w14:textId="6B710DD0" w:rsidR="00E06CDF" w:rsidRDefault="00AA6288" w:rsidP="00E66367">
                            <w:pPr>
                              <w:spacing w:line="256" w:lineRule="auto"/>
                              <w:jc w:val="center"/>
                              <w:rPr>
                                <w:rFonts w:ascii="Calibri" w:hAnsi="Calibri" w:cs="Calibri"/>
                                <w:b/>
                                <w:bCs/>
                                <w:sz w:val="52"/>
                                <w:szCs w:val="52"/>
                              </w:rPr>
                            </w:pPr>
                            <w:r>
                              <w:rPr>
                                <w:rFonts w:ascii="Calibri" w:hAnsi="Calibri" w:cs="Calibri"/>
                                <w:b/>
                                <w:bCs/>
                                <w:sz w:val="52"/>
                                <w:szCs w:val="52"/>
                              </w:rPr>
                              <w:t xml:space="preserve">PUPIL </w:t>
                            </w:r>
                            <w:r w:rsidR="00E66367">
                              <w:rPr>
                                <w:rFonts w:ascii="Calibri" w:hAnsi="Calibri" w:cs="Calibri"/>
                                <w:b/>
                                <w:bCs/>
                                <w:sz w:val="52"/>
                                <w:szCs w:val="52"/>
                              </w:rPr>
                              <w:t>DEVELOPMENT GRANT (PDG) STRATEGY STATEMENT</w:t>
                            </w:r>
                            <w:r w:rsidR="00E06CDF">
                              <w:rPr>
                                <w:rFonts w:ascii="Calibri" w:hAnsi="Calibri" w:cs="Calibri"/>
                                <w:b/>
                                <w:bCs/>
                                <w:sz w:val="52"/>
                                <w:szCs w:val="52"/>
                              </w:rPr>
                              <w:t xml:space="preserve"> </w:t>
                            </w:r>
                          </w:p>
                          <w:p w14:paraId="315F974E" w14:textId="7D8D31E7" w:rsidR="00E66367" w:rsidRDefault="00E06CDF" w:rsidP="00E66367">
                            <w:pPr>
                              <w:spacing w:line="256" w:lineRule="auto"/>
                              <w:jc w:val="center"/>
                              <w:rPr>
                                <w:rFonts w:ascii="Calibri" w:hAnsi="Calibri" w:cs="Calibri"/>
                                <w:b/>
                                <w:bCs/>
                                <w:sz w:val="52"/>
                                <w:szCs w:val="52"/>
                              </w:rPr>
                            </w:pPr>
                            <w:r>
                              <w:rPr>
                                <w:rFonts w:ascii="Calibri" w:hAnsi="Calibri" w:cs="Calibri"/>
                                <w:b/>
                                <w:bCs/>
                                <w:sz w:val="52"/>
                                <w:szCs w:val="52"/>
                              </w:rPr>
                              <w:t>202</w:t>
                            </w:r>
                            <w:r w:rsidR="005B3F13">
                              <w:rPr>
                                <w:rFonts w:ascii="Calibri" w:hAnsi="Calibri" w:cs="Calibri"/>
                                <w:b/>
                                <w:bCs/>
                                <w:sz w:val="52"/>
                                <w:szCs w:val="52"/>
                              </w:rPr>
                              <w:t>5</w:t>
                            </w:r>
                            <w:r>
                              <w:rPr>
                                <w:rFonts w:ascii="Calibri" w:hAnsi="Calibri" w:cs="Calibri"/>
                                <w:b/>
                                <w:bCs/>
                                <w:sz w:val="52"/>
                                <w:szCs w:val="52"/>
                              </w:rPr>
                              <w:t>-2</w:t>
                            </w:r>
                            <w:r w:rsidR="005B3F13">
                              <w:rPr>
                                <w:rFonts w:ascii="Calibri" w:hAnsi="Calibri" w:cs="Calibri"/>
                                <w:b/>
                                <w:bCs/>
                                <w:sz w:val="52"/>
                                <w:szCs w:val="52"/>
                              </w:rPr>
                              <w:t>6</w:t>
                            </w:r>
                          </w:p>
                          <w:p w14:paraId="100CCF2A" w14:textId="77777777" w:rsidR="00E66367" w:rsidRPr="001F2E5E" w:rsidRDefault="00E66367" w:rsidP="00E66367">
                            <w:pPr>
                              <w:spacing w:line="256" w:lineRule="auto"/>
                              <w:jc w:val="center"/>
                              <w:rPr>
                                <w:rFonts w:asciiTheme="minorHAnsi" w:hAnsiTheme="minorHAnsi" w:cstheme="minorHAnsi"/>
                                <w:b/>
                                <w:sz w:val="28"/>
                                <w:szCs w:val="28"/>
                              </w:rPr>
                            </w:pPr>
                          </w:p>
                          <w:p w14:paraId="1271C357" w14:textId="77777777" w:rsidR="00E66367" w:rsidRDefault="00E66367" w:rsidP="00A677DD">
                            <w:pPr>
                              <w:spacing w:line="256" w:lineRule="auto"/>
                              <w:jc w:val="center"/>
                              <w:rPr>
                                <w:rFonts w:ascii="Calibri" w:hAnsi="Calibri" w:cs="Calibri"/>
                                <w:b/>
                                <w:bCs/>
                                <w:sz w:val="52"/>
                                <w:szCs w:val="52"/>
                              </w:rPr>
                            </w:pPr>
                          </w:p>
                          <w:p w14:paraId="5ABACF53" w14:textId="73A1F0C4" w:rsidR="00566E9F" w:rsidRPr="00A677DD" w:rsidRDefault="00566E9F" w:rsidP="00A677DD">
                            <w:pPr>
                              <w:spacing w:line="256" w:lineRule="auto"/>
                              <w:jc w:val="center"/>
                              <w:rPr>
                                <w:rFonts w:asciiTheme="minorHAnsi" w:hAnsiTheme="minorHAnsi" w:cstheme="minorHAnsi"/>
                                <w:b/>
                                <w:bCs/>
                                <w:i/>
                                <w:iCs/>
                                <w:sz w:val="28"/>
                                <w:szCs w:val="28"/>
                              </w:rPr>
                            </w:pPr>
                            <w:r>
                              <w:rPr>
                                <w:rFonts w:ascii="Calibri" w:hAnsi="Calibri" w:cs="Calibri"/>
                                <w:b/>
                                <w:bCs/>
                                <w:i/>
                                <w:iCs/>
                                <w:sz w:val="28"/>
                                <w:szCs w:val="28"/>
                              </w:rPr>
                              <w:t xml:space="preserve"> </w:t>
                            </w:r>
                          </w:p>
                        </w:txbxContent>
                      </wps:txbx>
                      <wps:bodyPr spcFirstLastPara="0" wrap="square" lIns="91440" tIns="45720" rIns="91440" bIns="45720" anchor="t">
                        <a:noAutofit/>
                      </wps:bodyPr>
                    </wps:wsp>
                  </a:graphicData>
                </a:graphic>
              </wp:inline>
            </w:drawing>
          </mc:Choice>
          <mc:Fallback>
            <w:pict>
              <v:rect w14:anchorId="57B86ADE" id="Text Box 26" o:spid="_x0000_s1026" style="width:423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" filled="f" stroked="f" strokeweight=".5pt">
                <v:textbox>
                  <w:txbxContent>
                    <w:p w14:paraId="6B2BD3FB" w14:textId="77777777" w:rsidR="00E06CDF" w:rsidRDefault="00E06CDF" w:rsidP="00E66367">
                      <w:pPr>
                        <w:spacing w:line="256" w:lineRule="auto"/>
                        <w:jc w:val="center"/>
                        <w:rPr>
                          <w:rFonts w:ascii="Calibri" w:hAnsi="Calibri" w:cs="Calibri"/>
                          <w:b/>
                          <w:bCs/>
                          <w:sz w:val="52"/>
                          <w:szCs w:val="52"/>
                        </w:rPr>
                      </w:pPr>
                    </w:p>
                    <w:p w14:paraId="61A754E7" w14:textId="6B710DD0" w:rsidR="00E06CDF" w:rsidRDefault="00AA6288" w:rsidP="00E66367">
                      <w:pPr>
                        <w:spacing w:line="256" w:lineRule="auto"/>
                        <w:jc w:val="center"/>
                        <w:rPr>
                          <w:rFonts w:ascii="Calibri" w:hAnsi="Calibri" w:cs="Calibri"/>
                          <w:b/>
                          <w:bCs/>
                          <w:sz w:val="52"/>
                          <w:szCs w:val="52"/>
                        </w:rPr>
                      </w:pPr>
                      <w:r>
                        <w:rPr>
                          <w:rFonts w:ascii="Calibri" w:hAnsi="Calibri" w:cs="Calibri"/>
                          <w:b/>
                          <w:bCs/>
                          <w:sz w:val="52"/>
                          <w:szCs w:val="52"/>
                        </w:rPr>
                        <w:t xml:space="preserve">PUPIL </w:t>
                      </w:r>
                      <w:r w:rsidR="00E66367">
                        <w:rPr>
                          <w:rFonts w:ascii="Calibri" w:hAnsi="Calibri" w:cs="Calibri"/>
                          <w:b/>
                          <w:bCs/>
                          <w:sz w:val="52"/>
                          <w:szCs w:val="52"/>
                        </w:rPr>
                        <w:t>DEVELOPMENT GRANT (PDG) STRATEGY STATEMENT</w:t>
                      </w:r>
                      <w:r w:rsidR="00E06CDF">
                        <w:rPr>
                          <w:rFonts w:ascii="Calibri" w:hAnsi="Calibri" w:cs="Calibri"/>
                          <w:b/>
                          <w:bCs/>
                          <w:sz w:val="52"/>
                          <w:szCs w:val="52"/>
                        </w:rPr>
                        <w:t xml:space="preserve"> </w:t>
                      </w:r>
                    </w:p>
                    <w:p w14:paraId="315F974E" w14:textId="7D8D31E7" w:rsidR="00E66367" w:rsidRDefault="00E06CDF" w:rsidP="00E66367">
                      <w:pPr>
                        <w:spacing w:line="256" w:lineRule="auto"/>
                        <w:jc w:val="center"/>
                        <w:rPr>
                          <w:rFonts w:ascii="Calibri" w:hAnsi="Calibri" w:cs="Calibri"/>
                          <w:b/>
                          <w:bCs/>
                          <w:sz w:val="52"/>
                          <w:szCs w:val="52"/>
                        </w:rPr>
                      </w:pPr>
                      <w:r>
                        <w:rPr>
                          <w:rFonts w:ascii="Calibri" w:hAnsi="Calibri" w:cs="Calibri"/>
                          <w:b/>
                          <w:bCs/>
                          <w:sz w:val="52"/>
                          <w:szCs w:val="52"/>
                        </w:rPr>
                        <w:t>202</w:t>
                      </w:r>
                      <w:r w:rsidR="005B3F13">
                        <w:rPr>
                          <w:rFonts w:ascii="Calibri" w:hAnsi="Calibri" w:cs="Calibri"/>
                          <w:b/>
                          <w:bCs/>
                          <w:sz w:val="52"/>
                          <w:szCs w:val="52"/>
                        </w:rPr>
                        <w:t>5</w:t>
                      </w:r>
                      <w:r>
                        <w:rPr>
                          <w:rFonts w:ascii="Calibri" w:hAnsi="Calibri" w:cs="Calibri"/>
                          <w:b/>
                          <w:bCs/>
                          <w:sz w:val="52"/>
                          <w:szCs w:val="52"/>
                        </w:rPr>
                        <w:t>-2</w:t>
                      </w:r>
                      <w:r w:rsidR="005B3F13">
                        <w:rPr>
                          <w:rFonts w:ascii="Calibri" w:hAnsi="Calibri" w:cs="Calibri"/>
                          <w:b/>
                          <w:bCs/>
                          <w:sz w:val="52"/>
                          <w:szCs w:val="52"/>
                        </w:rPr>
                        <w:t>6</w:t>
                      </w:r>
                    </w:p>
                    <w:p w14:paraId="100CCF2A" w14:textId="77777777" w:rsidR="00E66367" w:rsidRPr="001F2E5E" w:rsidRDefault="00E66367" w:rsidP="00E66367">
                      <w:pPr>
                        <w:spacing w:line="256" w:lineRule="auto"/>
                        <w:jc w:val="center"/>
                        <w:rPr>
                          <w:rFonts w:asciiTheme="minorHAnsi" w:hAnsiTheme="minorHAnsi" w:cstheme="minorHAnsi"/>
                          <w:b/>
                          <w:sz w:val="28"/>
                          <w:szCs w:val="28"/>
                        </w:rPr>
                      </w:pPr>
                    </w:p>
                    <w:p w14:paraId="1271C357" w14:textId="77777777" w:rsidR="00E66367" w:rsidRDefault="00E66367" w:rsidP="00A677DD">
                      <w:pPr>
                        <w:spacing w:line="256" w:lineRule="auto"/>
                        <w:jc w:val="center"/>
                        <w:rPr>
                          <w:rFonts w:ascii="Calibri" w:hAnsi="Calibri" w:cs="Calibri"/>
                          <w:b/>
                          <w:bCs/>
                          <w:sz w:val="52"/>
                          <w:szCs w:val="52"/>
                        </w:rPr>
                      </w:pPr>
                    </w:p>
                    <w:p w14:paraId="5ABACF53" w14:textId="73A1F0C4" w:rsidR="00566E9F" w:rsidRPr="00A677DD" w:rsidRDefault="00566E9F" w:rsidP="00A677DD">
                      <w:pPr>
                        <w:spacing w:line="256" w:lineRule="auto"/>
                        <w:jc w:val="center"/>
                        <w:rPr>
                          <w:rFonts w:asciiTheme="minorHAnsi" w:hAnsiTheme="minorHAnsi" w:cstheme="minorHAnsi"/>
                          <w:b/>
                          <w:bCs/>
                          <w:i/>
                          <w:iCs/>
                          <w:sz w:val="28"/>
                          <w:szCs w:val="28"/>
                        </w:rPr>
                      </w:pPr>
                      <w:r>
                        <w:rPr>
                          <w:rFonts w:ascii="Calibri" w:hAnsi="Calibri" w:cs="Calibri"/>
                          <w:b/>
                          <w:bCs/>
                          <w:i/>
                          <w:iCs/>
                          <w:sz w:val="28"/>
                          <w:szCs w:val="28"/>
                        </w:rPr>
                        <w:t xml:space="preserve"> </w:t>
                      </w:r>
                    </w:p>
                  </w:txbxContent>
                </v:textbox>
                <w10:anchorlock/>
              </v:rect>
            </w:pict>
          </mc:Fallback>
        </mc:AlternateContent>
      </w:r>
    </w:p>
    <w:p w14:paraId="3A2C6631" w14:textId="6F478F16" w:rsidR="00BA1667" w:rsidRDefault="00BA1667" w:rsidP="4F63A121">
      <w:pPr>
        <w:rPr>
          <w:rFonts w:ascii="Segoe UI" w:hAnsi="Segoe UI" w:cs="Segoe UI"/>
          <w:b/>
          <w:bCs/>
          <w:sz w:val="36"/>
          <w:szCs w:val="36"/>
          <w:u w:val="single"/>
        </w:rPr>
        <w:sectPr w:rsidR="00BA1667" w:rsidSect="00E261E2">
          <w:headerReference w:type="default" r:id="rId12"/>
          <w:pgSz w:w="11906" w:h="16838"/>
          <w:pgMar w:top="899" w:right="1826" w:bottom="1078" w:left="1620" w:header="708" w:footer="708" w:gutter="0"/>
          <w:cols w:space="708"/>
          <w:docGrid w:linePitch="360"/>
        </w:sectPr>
      </w:pPr>
    </w:p>
    <w:p w14:paraId="1A24BEC4" w14:textId="77777777" w:rsidR="00EF6FE8" w:rsidRDefault="00EF6FE8">
      <w:pPr>
        <w:rPr>
          <w:rFonts w:ascii="Segoe UI" w:hAnsi="Segoe UI" w:cs="Segoe UI"/>
          <w:b/>
          <w:u w:val="single"/>
        </w:rPr>
      </w:pPr>
    </w:p>
    <w:p w14:paraId="215FFB34" w14:textId="77777777" w:rsidR="00EF6FE8" w:rsidRDefault="00EF6FE8">
      <w:pPr>
        <w:rPr>
          <w:rFonts w:ascii="Segoe UI" w:hAnsi="Segoe UI" w:cs="Segoe UI"/>
          <w:b/>
          <w:u w:val="single"/>
        </w:rPr>
      </w:pPr>
    </w:p>
    <w:p w14:paraId="5552B9A2" w14:textId="77777777" w:rsidR="00EF6FE8" w:rsidRDefault="00EF6FE8">
      <w:pPr>
        <w:rPr>
          <w:rFonts w:ascii="Segoe UI" w:hAnsi="Segoe UI" w:cs="Segoe UI"/>
          <w:b/>
          <w:u w:val="single"/>
        </w:rPr>
      </w:pPr>
    </w:p>
    <w:p w14:paraId="7B8BEED0" w14:textId="77777777" w:rsidR="00774872" w:rsidRDefault="00774872">
      <w:pPr>
        <w:rPr>
          <w:rFonts w:ascii="Segoe UI" w:hAnsi="Segoe UI" w:cs="Segoe UI"/>
          <w:b/>
          <w:u w:val="single"/>
        </w:rPr>
      </w:pPr>
    </w:p>
    <w:p w14:paraId="1829B4FE" w14:textId="15E2372B" w:rsidR="00326183" w:rsidRPr="001F2E5E" w:rsidRDefault="00326183" w:rsidP="00326183">
      <w:pPr>
        <w:jc w:val="center"/>
        <w:rPr>
          <w:rFonts w:asciiTheme="minorHAnsi" w:hAnsiTheme="minorHAnsi" w:cstheme="minorHAnsi"/>
          <w:b/>
          <w:sz w:val="28"/>
          <w:szCs w:val="28"/>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r>
        <w:rPr>
          <w:rFonts w:asciiTheme="minorHAnsi" w:hAnsiTheme="minorHAnsi" w:cstheme="minorHAnsi"/>
          <w:b/>
          <w:sz w:val="28"/>
          <w:szCs w:val="28"/>
        </w:rPr>
        <w:t xml:space="preserve">Cilffriw </w:t>
      </w:r>
      <w:r w:rsidRPr="001F2E5E">
        <w:rPr>
          <w:rFonts w:asciiTheme="minorHAnsi" w:hAnsiTheme="minorHAnsi" w:cstheme="minorHAnsi"/>
          <w:b/>
          <w:sz w:val="28"/>
          <w:szCs w:val="28"/>
        </w:rPr>
        <w:t>Primary School</w:t>
      </w:r>
    </w:p>
    <w:p w14:paraId="13112594" w14:textId="77777777" w:rsidR="00326183" w:rsidRPr="001F2E5E" w:rsidRDefault="00326183" w:rsidP="00326183">
      <w:pPr>
        <w:jc w:val="center"/>
        <w:rPr>
          <w:rFonts w:asciiTheme="minorHAnsi" w:hAnsiTheme="minorHAnsi" w:cstheme="minorHAnsi"/>
          <w:b/>
          <w:sz w:val="28"/>
          <w:szCs w:val="28"/>
        </w:rPr>
      </w:pPr>
      <w:r w:rsidRPr="001F2E5E">
        <w:rPr>
          <w:rFonts w:asciiTheme="minorHAnsi" w:hAnsiTheme="minorHAnsi" w:cstheme="minorHAnsi"/>
          <w:b/>
          <w:sz w:val="28"/>
          <w:szCs w:val="28"/>
        </w:rPr>
        <w:t>Pupil Development Grant (PDG) Strategy Statement</w:t>
      </w:r>
    </w:p>
    <w:p w14:paraId="13DB662D" w14:textId="7C9C5DAC" w:rsidR="00326183" w:rsidRPr="001F2E5E" w:rsidRDefault="00326183" w:rsidP="00326183">
      <w:pPr>
        <w:pStyle w:val="Heading2"/>
        <w:rPr>
          <w:rFonts w:asciiTheme="minorHAnsi" w:hAnsiTheme="minorHAnsi" w:cstheme="minorHAnsi"/>
          <w:b w:val="0"/>
          <w:bCs w:val="0"/>
          <w:sz w:val="24"/>
          <w:szCs w:val="24"/>
        </w:rPr>
      </w:pPr>
      <w:r w:rsidRPr="001F2E5E">
        <w:rPr>
          <w:rFonts w:asciiTheme="minorHAnsi" w:hAnsiTheme="minorHAnsi" w:cstheme="minorHAnsi"/>
          <w:b w:val="0"/>
          <w:sz w:val="24"/>
          <w:szCs w:val="24"/>
        </w:rPr>
        <w:t>This statement details our school’s use of the PDG for the 202</w:t>
      </w:r>
      <w:r>
        <w:rPr>
          <w:rFonts w:asciiTheme="minorHAnsi" w:hAnsiTheme="minorHAnsi" w:cstheme="minorHAnsi"/>
          <w:b w:val="0"/>
          <w:sz w:val="24"/>
          <w:szCs w:val="24"/>
        </w:rPr>
        <w:t>4</w:t>
      </w:r>
      <w:r w:rsidRPr="001F2E5E">
        <w:rPr>
          <w:rFonts w:asciiTheme="minorHAnsi" w:hAnsiTheme="minorHAnsi" w:cstheme="minorHAnsi"/>
          <w:b w:val="0"/>
          <w:sz w:val="24"/>
          <w:szCs w:val="24"/>
        </w:rPr>
        <w:t xml:space="preserve"> to 202</w:t>
      </w:r>
      <w:r>
        <w:rPr>
          <w:rFonts w:asciiTheme="minorHAnsi" w:hAnsiTheme="minorHAnsi" w:cstheme="minorHAnsi"/>
          <w:b w:val="0"/>
          <w:sz w:val="24"/>
          <w:szCs w:val="24"/>
        </w:rPr>
        <w:t>5</w:t>
      </w:r>
      <w:r w:rsidRPr="001F2E5E">
        <w:rPr>
          <w:rFonts w:asciiTheme="minorHAnsi" w:hAnsiTheme="minorHAnsi" w:cstheme="minorHAnsi"/>
          <w:b w:val="0"/>
          <w:sz w:val="24"/>
          <w:szCs w:val="24"/>
        </w:rPr>
        <w:t xml:space="preserve"> academic year. </w:t>
      </w:r>
    </w:p>
    <w:p w14:paraId="62EB83CB" w14:textId="77777777" w:rsidR="00326183" w:rsidRPr="001F2E5E" w:rsidRDefault="00326183" w:rsidP="00326183">
      <w:pPr>
        <w:pStyle w:val="Heading2"/>
        <w:rPr>
          <w:rFonts w:asciiTheme="minorHAnsi" w:hAnsiTheme="minorHAnsi" w:cstheme="minorHAnsi"/>
          <w:b w:val="0"/>
          <w:sz w:val="24"/>
          <w:szCs w:val="24"/>
        </w:rPr>
      </w:pPr>
      <w:r w:rsidRPr="001F2E5E">
        <w:rPr>
          <w:rFonts w:asciiTheme="minorHAnsi" w:hAnsiTheme="minorHAnsi" w:cstheme="minorHAnsi"/>
          <w:b w:val="0"/>
          <w:sz w:val="24"/>
          <w:szCs w:val="24"/>
        </w:rPr>
        <w:t xml:space="preserve">It outlines our strategy, how we intend to spend the funding in this academic year and the effect that last year’s spending had within our school. </w:t>
      </w:r>
    </w:p>
    <w:p w14:paraId="002BEC79" w14:textId="77777777" w:rsidR="00326183" w:rsidRPr="00405BB4" w:rsidRDefault="00326183" w:rsidP="00326183">
      <w:pPr>
        <w:rPr>
          <w:rFonts w:ascii="Arial" w:hAnsi="Arial" w:cs="Arial"/>
          <w:i/>
          <w:color w:val="FF0000"/>
        </w:rPr>
      </w:pPr>
      <w:r>
        <w:rPr>
          <w:rFonts w:ascii="Arial" w:hAnsi="Arial" w:cs="Arial"/>
          <w:i/>
          <w:color w:val="FF0000"/>
        </w:rPr>
        <w:t>.</w:t>
      </w:r>
    </w:p>
    <w:p w14:paraId="45A0BB01" w14:textId="6D826CD1" w:rsidR="00920070" w:rsidRPr="00920070" w:rsidRDefault="00326183" w:rsidP="00920070">
      <w:pPr>
        <w:pStyle w:val="Heading2"/>
        <w:rPr>
          <w:rFonts w:ascii="Arial" w:hAnsi="Arial" w:cs="Arial"/>
          <w:sz w:val="24"/>
          <w:szCs w:val="24"/>
        </w:rPr>
      </w:pPr>
      <w:r w:rsidRPr="006435B8">
        <w:rPr>
          <w:rFonts w:ascii="Arial" w:hAnsi="Arial" w:cs="Arial"/>
          <w:sz w:val="24"/>
          <w:szCs w:val="24"/>
        </w:rPr>
        <w:t xml:space="preserve">School </w:t>
      </w:r>
      <w:r>
        <w:rPr>
          <w:rFonts w:ascii="Arial" w:hAnsi="Arial" w:cs="Arial"/>
          <w:sz w:val="24"/>
          <w:szCs w:val="24"/>
        </w:rPr>
        <w:t>O</w:t>
      </w:r>
      <w:r w:rsidRPr="006435B8">
        <w:rPr>
          <w:rFonts w:ascii="Arial" w:hAnsi="Arial" w:cs="Arial"/>
          <w:sz w:val="24"/>
          <w:szCs w:val="24"/>
        </w:rPr>
        <w:t>verview</w:t>
      </w:r>
      <w:bookmarkEnd w:id="0"/>
      <w:bookmarkEnd w:id="1"/>
      <w:bookmarkEnd w:id="2"/>
      <w:bookmarkEnd w:id="3"/>
      <w:bookmarkEnd w:id="4"/>
      <w:bookmarkEnd w:id="5"/>
      <w:bookmarkEnd w:id="6"/>
      <w:bookmarkEnd w:id="7"/>
      <w:bookmarkEnd w:id="8"/>
    </w:p>
    <w:tbl>
      <w:tblPr>
        <w:tblpPr w:leftFromText="180" w:rightFromText="180" w:vertAnchor="text" w:horzAnchor="page" w:tblpX="997" w:tblpY="90"/>
        <w:tblW w:w="6055" w:type="pct"/>
        <w:tblCellMar>
          <w:left w:w="10" w:type="dxa"/>
          <w:right w:w="10" w:type="dxa"/>
        </w:tblCellMar>
        <w:tblLook w:val="04A0" w:firstRow="1" w:lastRow="0" w:firstColumn="1" w:lastColumn="0" w:noHBand="0" w:noVBand="1"/>
      </w:tblPr>
      <w:tblGrid>
        <w:gridCol w:w="4901"/>
        <w:gridCol w:w="5332"/>
      </w:tblGrid>
      <w:tr w:rsidR="00920070" w:rsidRPr="006435B8" w14:paraId="74442EA6" w14:textId="77777777" w:rsidTr="004A62D5">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A614B"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 xml:space="preserve">Number of pupils in school </w:t>
            </w:r>
          </w:p>
        </w:tc>
        <w:tc>
          <w:tcPr>
            <w:tcW w:w="52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635F19" w14:textId="57EC80A9" w:rsidR="00920070" w:rsidRPr="005B198B" w:rsidRDefault="00005BCA" w:rsidP="00005BCA">
            <w:pPr>
              <w:pStyle w:val="TableRow"/>
              <w:rPr>
                <w:rFonts w:asciiTheme="majorHAnsi" w:hAnsiTheme="majorHAnsi" w:cstheme="majorHAnsi"/>
                <w:iCs/>
                <w:color w:val="70AD47" w:themeColor="accent6"/>
                <w:highlight w:val="yellow"/>
              </w:rPr>
            </w:pPr>
            <w:r w:rsidRPr="004A62D5">
              <w:rPr>
                <w:rFonts w:asciiTheme="majorHAnsi" w:hAnsiTheme="majorHAnsi" w:cstheme="majorHAnsi"/>
                <w:iCs/>
                <w:color w:val="auto"/>
              </w:rPr>
              <w:t>1</w:t>
            </w:r>
            <w:r w:rsidR="004A62D5" w:rsidRPr="004A62D5">
              <w:rPr>
                <w:rFonts w:asciiTheme="majorHAnsi" w:hAnsiTheme="majorHAnsi" w:cstheme="majorHAnsi"/>
                <w:iCs/>
                <w:color w:val="auto"/>
              </w:rPr>
              <w:t xml:space="preserve">35 </w:t>
            </w:r>
            <w:r w:rsidRPr="004A62D5">
              <w:rPr>
                <w:rFonts w:asciiTheme="majorHAnsi" w:hAnsiTheme="majorHAnsi" w:cstheme="majorHAnsi"/>
                <w:iCs/>
                <w:color w:val="auto"/>
              </w:rPr>
              <w:t>(1</w:t>
            </w:r>
            <w:r w:rsidR="004A62D5" w:rsidRPr="004A62D5">
              <w:rPr>
                <w:rFonts w:asciiTheme="majorHAnsi" w:hAnsiTheme="majorHAnsi" w:cstheme="majorHAnsi"/>
                <w:iCs/>
                <w:color w:val="auto"/>
              </w:rPr>
              <w:t>2</w:t>
            </w:r>
            <w:r w:rsidRPr="004A62D5">
              <w:rPr>
                <w:rFonts w:asciiTheme="majorHAnsi" w:hAnsiTheme="majorHAnsi" w:cstheme="majorHAnsi"/>
                <w:iCs/>
                <w:color w:val="auto"/>
              </w:rPr>
              <w:t xml:space="preserve"> part time pupils)</w:t>
            </w:r>
          </w:p>
        </w:tc>
      </w:tr>
      <w:tr w:rsidR="00920070" w:rsidRPr="006435B8" w14:paraId="0BA5C3BE" w14:textId="77777777" w:rsidTr="003377E2">
        <w:trPr>
          <w:trHeight w:val="3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E26"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Proportion (%) of PDG eligible pupils</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5FDC9" w14:textId="1FD48409" w:rsidR="00920070" w:rsidRPr="005B198B" w:rsidRDefault="004A62D5" w:rsidP="003377E2">
            <w:pPr>
              <w:pStyle w:val="TableRow"/>
              <w:ind w:left="0"/>
              <w:rPr>
                <w:rFonts w:asciiTheme="majorHAnsi" w:hAnsiTheme="majorHAnsi" w:cstheme="majorHAnsi"/>
                <w:iCs/>
                <w:color w:val="70AD47" w:themeColor="accent6"/>
                <w:highlight w:val="yellow"/>
              </w:rPr>
            </w:pPr>
            <w:r w:rsidRPr="004A62D5">
              <w:rPr>
                <w:rFonts w:asciiTheme="majorHAnsi" w:hAnsiTheme="majorHAnsi" w:cstheme="majorHAnsi"/>
                <w:iCs/>
                <w:color w:val="auto"/>
              </w:rPr>
              <w:t>37</w:t>
            </w:r>
            <w:r w:rsidR="00E760A4" w:rsidRPr="004A62D5">
              <w:rPr>
                <w:rFonts w:asciiTheme="majorHAnsi" w:hAnsiTheme="majorHAnsi" w:cstheme="majorHAnsi"/>
                <w:iCs/>
                <w:color w:val="auto"/>
              </w:rPr>
              <w:t>%</w:t>
            </w:r>
          </w:p>
        </w:tc>
      </w:tr>
      <w:tr w:rsidR="00920070" w:rsidRPr="006435B8" w14:paraId="735C9375"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FA94"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Date this statement was published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0690" w14:textId="67224E9E" w:rsidR="00920070" w:rsidRPr="00E408C1" w:rsidRDefault="005B198B" w:rsidP="00E760A4">
            <w:pPr>
              <w:pStyle w:val="TableRow"/>
              <w:ind w:left="0"/>
              <w:rPr>
                <w:rFonts w:asciiTheme="majorHAnsi" w:hAnsiTheme="majorHAnsi" w:cstheme="majorHAnsi"/>
                <w:iCs/>
                <w:color w:val="70AD47" w:themeColor="accent6"/>
              </w:rPr>
            </w:pPr>
            <w:r>
              <w:rPr>
                <w:rFonts w:asciiTheme="majorHAnsi" w:hAnsiTheme="majorHAnsi" w:cstheme="majorHAnsi"/>
                <w:iCs/>
                <w:color w:val="auto"/>
              </w:rPr>
              <w:t>October 2025</w:t>
            </w:r>
          </w:p>
        </w:tc>
      </w:tr>
      <w:tr w:rsidR="00920070" w:rsidRPr="006435B8" w14:paraId="7A912894"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1E4D8"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Date on which it will be reviewed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4F755" w14:textId="4F61E3C2" w:rsidR="00920070" w:rsidRPr="00E408C1" w:rsidRDefault="005B198B" w:rsidP="003377E2">
            <w:pPr>
              <w:pStyle w:val="TableRow"/>
              <w:ind w:left="0"/>
              <w:rPr>
                <w:rFonts w:asciiTheme="majorHAnsi" w:hAnsiTheme="majorHAnsi" w:cstheme="majorHAnsi"/>
                <w:iCs/>
                <w:color w:val="70AD47" w:themeColor="accent6"/>
              </w:rPr>
            </w:pPr>
            <w:r>
              <w:rPr>
                <w:rFonts w:asciiTheme="majorHAnsi" w:hAnsiTheme="majorHAnsi" w:cstheme="majorHAnsi"/>
                <w:iCs/>
                <w:color w:val="auto"/>
              </w:rPr>
              <w:t>September 2026</w:t>
            </w:r>
          </w:p>
        </w:tc>
      </w:tr>
      <w:tr w:rsidR="00920070" w:rsidRPr="006435B8" w14:paraId="2ADE74BF"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EB884"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Statement authorised by</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7871" w14:textId="7FF015D2" w:rsidR="00920070" w:rsidRPr="00005BCA" w:rsidRDefault="005B198B" w:rsidP="003377E2">
            <w:pPr>
              <w:pStyle w:val="TableRow"/>
              <w:rPr>
                <w:rFonts w:asciiTheme="majorHAnsi" w:hAnsiTheme="majorHAnsi" w:cstheme="majorHAnsi"/>
                <w:iCs/>
                <w:color w:val="70AD47" w:themeColor="accent6"/>
              </w:rPr>
            </w:pPr>
            <w:r>
              <w:rPr>
                <w:rFonts w:asciiTheme="majorHAnsi" w:hAnsiTheme="majorHAnsi" w:cstheme="majorHAnsi"/>
                <w:iCs/>
                <w:color w:val="auto"/>
              </w:rPr>
              <w:t>Samantha Sharp</w:t>
            </w:r>
          </w:p>
        </w:tc>
      </w:tr>
      <w:tr w:rsidR="00920070" w:rsidRPr="006435B8" w14:paraId="5E2245C9" w14:textId="77777777" w:rsidTr="003377E2">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9A3B"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PDG Lead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690EB" w14:textId="7E88AF4D" w:rsidR="00920070" w:rsidRPr="000751C1" w:rsidRDefault="000751C1" w:rsidP="003377E2">
            <w:pPr>
              <w:pStyle w:val="TableRow"/>
              <w:rPr>
                <w:rFonts w:asciiTheme="majorHAnsi" w:hAnsiTheme="majorHAnsi" w:cstheme="majorHAnsi"/>
                <w:iCs/>
                <w:color w:val="70AD47" w:themeColor="accent6"/>
              </w:rPr>
            </w:pPr>
            <w:r w:rsidRPr="000751C1">
              <w:rPr>
                <w:rFonts w:asciiTheme="majorHAnsi" w:hAnsiTheme="majorHAnsi" w:cstheme="majorHAnsi"/>
                <w:iCs/>
                <w:color w:val="auto"/>
              </w:rPr>
              <w:t>Kate Key</w:t>
            </w:r>
          </w:p>
        </w:tc>
      </w:tr>
      <w:tr w:rsidR="00920070" w:rsidRPr="006435B8" w14:paraId="7932A770" w14:textId="77777777" w:rsidTr="003377E2">
        <w:trPr>
          <w:trHeight w:val="3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C159F" w14:textId="77777777" w:rsidR="00920070" w:rsidRPr="001F2E5E" w:rsidRDefault="00920070" w:rsidP="003377E2">
            <w:pPr>
              <w:pStyle w:val="TableRow"/>
              <w:rPr>
                <w:rFonts w:asciiTheme="minorHAnsi" w:hAnsiTheme="minorHAnsi" w:cstheme="minorHAnsi"/>
                <w:color w:val="auto"/>
              </w:rPr>
            </w:pPr>
            <w:r w:rsidRPr="001F2E5E">
              <w:rPr>
                <w:rFonts w:asciiTheme="minorHAnsi" w:hAnsiTheme="minorHAnsi" w:cstheme="minorHAnsi"/>
                <w:color w:val="auto"/>
              </w:rPr>
              <w:t xml:space="preserve">Governor </w:t>
            </w:r>
            <w:proofErr w:type="gramStart"/>
            <w:r w:rsidRPr="001F2E5E">
              <w:rPr>
                <w:rFonts w:asciiTheme="minorHAnsi" w:hAnsiTheme="minorHAnsi" w:cstheme="minorHAnsi"/>
                <w:color w:val="auto"/>
              </w:rPr>
              <w:t>Lead</w:t>
            </w:r>
            <w:proofErr w:type="gramEnd"/>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65A4B" w14:textId="42CDB2F0" w:rsidR="00920070" w:rsidRPr="000751C1" w:rsidRDefault="000751C1" w:rsidP="003377E2">
            <w:pPr>
              <w:pStyle w:val="TableRow"/>
              <w:rPr>
                <w:rFonts w:asciiTheme="majorHAnsi" w:hAnsiTheme="majorHAnsi" w:cstheme="majorHAnsi"/>
                <w:iCs/>
                <w:color w:val="70AD47" w:themeColor="accent6"/>
              </w:rPr>
            </w:pPr>
            <w:r w:rsidRPr="000751C1">
              <w:rPr>
                <w:rFonts w:asciiTheme="majorHAnsi" w:hAnsiTheme="majorHAnsi" w:cstheme="majorHAnsi"/>
                <w:iCs/>
                <w:color w:val="auto"/>
              </w:rPr>
              <w:t>Simon Thomas</w:t>
            </w:r>
          </w:p>
        </w:tc>
      </w:tr>
    </w:tbl>
    <w:p w14:paraId="3696B4FF" w14:textId="77777777" w:rsidR="00920070" w:rsidRPr="00920070" w:rsidRDefault="00920070" w:rsidP="00920070">
      <w:pPr>
        <w:rPr>
          <w:lang w:eastAsia="zh-CN"/>
        </w:rPr>
      </w:pPr>
    </w:p>
    <w:p w14:paraId="3069E6D7" w14:textId="77777777" w:rsidR="001559F5" w:rsidRDefault="001559F5" w:rsidP="00DF0A47">
      <w:pPr>
        <w:rPr>
          <w:rFonts w:ascii="Arial" w:hAnsi="Arial" w:cs="Arial"/>
          <w:b/>
        </w:rPr>
      </w:pPr>
    </w:p>
    <w:p w14:paraId="768B5E46" w14:textId="77777777" w:rsidR="001559F5" w:rsidRDefault="001559F5" w:rsidP="00DF0A47">
      <w:pPr>
        <w:rPr>
          <w:rFonts w:ascii="Arial" w:hAnsi="Arial" w:cs="Arial"/>
          <w:b/>
        </w:rPr>
      </w:pPr>
    </w:p>
    <w:p w14:paraId="7C885DD7" w14:textId="69C99CA5" w:rsidR="00DF0A47" w:rsidRDefault="00DF0A47" w:rsidP="00DF0A47">
      <w:pPr>
        <w:rPr>
          <w:rFonts w:ascii="Arial" w:hAnsi="Arial" w:cs="Arial"/>
          <w:b/>
        </w:rPr>
      </w:pPr>
      <w:r w:rsidRPr="006435B8">
        <w:rPr>
          <w:rFonts w:ascii="Arial" w:hAnsi="Arial" w:cs="Arial"/>
          <w:b/>
        </w:rPr>
        <w:t xml:space="preserve">Funding </w:t>
      </w:r>
      <w:r>
        <w:rPr>
          <w:rFonts w:ascii="Arial" w:hAnsi="Arial" w:cs="Arial"/>
          <w:b/>
        </w:rPr>
        <w:t>O</w:t>
      </w:r>
      <w:r w:rsidRPr="006435B8">
        <w:rPr>
          <w:rFonts w:ascii="Arial" w:hAnsi="Arial" w:cs="Arial"/>
          <w:b/>
        </w:rPr>
        <w:t>verview</w:t>
      </w:r>
    </w:p>
    <w:tbl>
      <w:tblPr>
        <w:tblpPr w:leftFromText="180" w:rightFromText="180" w:vertAnchor="text" w:horzAnchor="margin" w:tblpXSpec="right" w:tblpY="149"/>
        <w:tblW w:w="9072" w:type="dxa"/>
        <w:tblCellMar>
          <w:left w:w="10" w:type="dxa"/>
          <w:right w:w="10" w:type="dxa"/>
        </w:tblCellMar>
        <w:tblLook w:val="04A0" w:firstRow="1" w:lastRow="0" w:firstColumn="1" w:lastColumn="0" w:noHBand="0" w:noVBand="1"/>
      </w:tblPr>
      <w:tblGrid>
        <w:gridCol w:w="6379"/>
        <w:gridCol w:w="2693"/>
      </w:tblGrid>
      <w:tr w:rsidR="00067E40" w:rsidRPr="006435B8" w14:paraId="6437BC3B" w14:textId="77777777" w:rsidTr="003377E2">
        <w:trPr>
          <w:trHeight w:val="374"/>
        </w:trPr>
        <w:tc>
          <w:tcPr>
            <w:tcW w:w="63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4B76EBA" w14:textId="77777777" w:rsidR="00067E40" w:rsidRPr="00B43983" w:rsidRDefault="00067E40" w:rsidP="003377E2">
            <w:pPr>
              <w:pStyle w:val="TableRow"/>
              <w:rPr>
                <w:rFonts w:asciiTheme="minorHAnsi" w:hAnsiTheme="minorHAnsi" w:cstheme="minorHAnsi"/>
                <w:color w:val="auto"/>
              </w:rPr>
            </w:pPr>
            <w:r w:rsidRPr="00B43983">
              <w:rPr>
                <w:rFonts w:asciiTheme="minorHAnsi" w:hAnsiTheme="minorHAnsi" w:cstheme="minorHAnsi"/>
                <w:b/>
                <w:color w:val="auto"/>
              </w:rPr>
              <w:t>Detail</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C1F9F85" w14:textId="77777777" w:rsidR="00067E40" w:rsidRPr="00B43983" w:rsidRDefault="00067E40" w:rsidP="003377E2">
            <w:pPr>
              <w:pStyle w:val="TableRow"/>
              <w:rPr>
                <w:rFonts w:asciiTheme="minorHAnsi" w:hAnsiTheme="minorHAnsi" w:cstheme="minorHAnsi"/>
                <w:color w:val="auto"/>
              </w:rPr>
            </w:pPr>
            <w:r w:rsidRPr="00B43983">
              <w:rPr>
                <w:rFonts w:asciiTheme="minorHAnsi" w:hAnsiTheme="minorHAnsi" w:cstheme="minorHAnsi"/>
                <w:b/>
                <w:color w:val="auto"/>
              </w:rPr>
              <w:t>Amount</w:t>
            </w:r>
          </w:p>
        </w:tc>
      </w:tr>
      <w:tr w:rsidR="00067E40" w:rsidRPr="006435B8" w14:paraId="0EC03BFA" w14:textId="77777777" w:rsidTr="003377E2">
        <w:trPr>
          <w:trHeight w:val="374"/>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D1AA5" w14:textId="77777777" w:rsidR="00067E40" w:rsidRPr="00B43983" w:rsidRDefault="00067E40" w:rsidP="003377E2">
            <w:pPr>
              <w:pStyle w:val="TableRow"/>
              <w:rPr>
                <w:rFonts w:asciiTheme="minorHAnsi" w:hAnsiTheme="minorHAnsi" w:cstheme="minorHAnsi"/>
                <w:color w:val="auto"/>
              </w:rPr>
            </w:pPr>
            <w:r w:rsidRPr="00B43983">
              <w:rPr>
                <w:rFonts w:asciiTheme="minorHAnsi" w:hAnsiTheme="minorHAnsi" w:cstheme="minorHAnsi"/>
                <w:color w:val="auto"/>
              </w:rPr>
              <w:t>PDG funding allocation this academic year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0568" w14:textId="0497589B" w:rsidR="00090B33" w:rsidRPr="00772B55" w:rsidRDefault="0013505C" w:rsidP="00DB725E">
            <w:pPr>
              <w:pStyle w:val="TableRow"/>
              <w:rPr>
                <w:rFonts w:asciiTheme="minorHAnsi" w:hAnsiTheme="minorHAnsi" w:cstheme="minorHAnsi"/>
                <w:color w:val="auto"/>
              </w:rPr>
            </w:pPr>
            <w:r w:rsidRPr="00772B55">
              <w:rPr>
                <w:rFonts w:asciiTheme="minorHAnsi" w:hAnsiTheme="minorHAnsi" w:cstheme="minorHAnsi"/>
                <w:color w:val="auto"/>
              </w:rPr>
              <w:t>PDG - £</w:t>
            </w:r>
            <w:r w:rsidR="00772B55" w:rsidRPr="00772B55">
              <w:rPr>
                <w:rFonts w:asciiTheme="minorHAnsi" w:hAnsiTheme="minorHAnsi" w:cstheme="minorHAnsi"/>
                <w:color w:val="auto"/>
              </w:rPr>
              <w:t>40,250</w:t>
            </w:r>
            <w:r w:rsidRPr="00772B55">
              <w:rPr>
                <w:rFonts w:asciiTheme="minorHAnsi" w:hAnsiTheme="minorHAnsi" w:cstheme="minorHAnsi"/>
                <w:color w:val="auto"/>
              </w:rPr>
              <w:br/>
              <w:t>EYPDG- £1</w:t>
            </w:r>
            <w:r w:rsidR="00772B55" w:rsidRPr="00772B55">
              <w:rPr>
                <w:rFonts w:asciiTheme="minorHAnsi" w:hAnsiTheme="minorHAnsi" w:cstheme="minorHAnsi"/>
                <w:color w:val="auto"/>
              </w:rPr>
              <w:t>8,400</w:t>
            </w:r>
          </w:p>
        </w:tc>
      </w:tr>
      <w:tr w:rsidR="00067E40" w:rsidRPr="006435B8" w14:paraId="0647D1CB" w14:textId="77777777" w:rsidTr="003377E2">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7C093" w14:textId="77777777" w:rsidR="00067E40" w:rsidRPr="00B43983" w:rsidRDefault="00067E40" w:rsidP="003377E2">
            <w:pPr>
              <w:pStyle w:val="TableRow"/>
              <w:rPr>
                <w:rFonts w:asciiTheme="minorHAnsi" w:hAnsiTheme="minorHAnsi" w:cstheme="minorHAnsi"/>
                <w:b/>
                <w:color w:val="auto"/>
              </w:rPr>
            </w:pPr>
            <w:r w:rsidRPr="00B43983">
              <w:rPr>
                <w:rFonts w:asciiTheme="minorHAnsi" w:hAnsiTheme="minorHAnsi" w:cstheme="minorHAnsi"/>
                <w:b/>
                <w:color w:val="auto"/>
              </w:rPr>
              <w:t>Total budget for this academic year</w:t>
            </w:r>
          </w:p>
          <w:p w14:paraId="6563A1C4" w14:textId="77777777" w:rsidR="00067E40" w:rsidRPr="00B43983" w:rsidRDefault="00067E40" w:rsidP="003377E2">
            <w:pPr>
              <w:pStyle w:val="TableRow"/>
              <w:rPr>
                <w:rFonts w:asciiTheme="minorHAnsi" w:hAnsiTheme="minorHAnsi" w:cstheme="minorHAnsi"/>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B84A" w14:textId="2C0D1499" w:rsidR="00067E40" w:rsidRPr="00772B55" w:rsidRDefault="00ED2D9D" w:rsidP="003377E2">
            <w:pPr>
              <w:pStyle w:val="TableRow"/>
              <w:rPr>
                <w:rFonts w:asciiTheme="minorHAnsi" w:hAnsiTheme="minorHAnsi" w:cstheme="minorHAnsi"/>
                <w:color w:val="auto"/>
              </w:rPr>
            </w:pPr>
            <w:r w:rsidRPr="00772B55">
              <w:rPr>
                <w:rFonts w:asciiTheme="minorHAnsi" w:hAnsiTheme="minorHAnsi" w:cstheme="minorHAnsi"/>
                <w:color w:val="auto"/>
              </w:rPr>
              <w:t>£</w:t>
            </w:r>
            <w:r w:rsidR="00772B55" w:rsidRPr="00772B55">
              <w:rPr>
                <w:rFonts w:asciiTheme="minorHAnsi" w:hAnsiTheme="minorHAnsi" w:cstheme="minorHAnsi"/>
                <w:color w:val="auto"/>
              </w:rPr>
              <w:t>58,650</w:t>
            </w:r>
          </w:p>
        </w:tc>
      </w:tr>
    </w:tbl>
    <w:p w14:paraId="77C88D83" w14:textId="09C78034" w:rsidR="00FE61F7" w:rsidRDefault="00FE61F7" w:rsidP="00BE0916">
      <w:pPr>
        <w:rPr>
          <w:rFonts w:ascii="Segoe UI" w:hAnsi="Segoe UI" w:cs="Segoe UI"/>
          <w:bCs/>
          <w:sz w:val="28"/>
          <w:szCs w:val="28"/>
        </w:rPr>
      </w:pPr>
    </w:p>
    <w:p w14:paraId="35C23C37" w14:textId="77777777" w:rsidR="00274D98" w:rsidRDefault="00274D98" w:rsidP="004E4F09">
      <w:pPr>
        <w:pStyle w:val="Heading1"/>
        <w:rPr>
          <w:rFonts w:ascii="Arial" w:hAnsi="Arial" w:cs="Arial"/>
          <w:b/>
          <w:bCs/>
          <w:color w:val="auto"/>
          <w:sz w:val="24"/>
          <w:szCs w:val="24"/>
        </w:rPr>
      </w:pPr>
    </w:p>
    <w:p w14:paraId="72F5C1FE" w14:textId="77777777" w:rsidR="00274D98" w:rsidRDefault="00274D98" w:rsidP="004E4F09">
      <w:pPr>
        <w:pStyle w:val="Heading1"/>
        <w:rPr>
          <w:rFonts w:ascii="Arial" w:hAnsi="Arial" w:cs="Arial"/>
          <w:b/>
          <w:bCs/>
          <w:color w:val="auto"/>
          <w:sz w:val="24"/>
          <w:szCs w:val="24"/>
        </w:rPr>
      </w:pPr>
    </w:p>
    <w:p w14:paraId="41A2FCE5" w14:textId="77777777" w:rsidR="00274D98" w:rsidRDefault="00274D98" w:rsidP="004E4F09">
      <w:pPr>
        <w:pStyle w:val="Heading1"/>
        <w:rPr>
          <w:rFonts w:ascii="Arial" w:hAnsi="Arial" w:cs="Arial"/>
          <w:b/>
          <w:bCs/>
          <w:color w:val="auto"/>
          <w:sz w:val="24"/>
          <w:szCs w:val="24"/>
        </w:rPr>
      </w:pPr>
    </w:p>
    <w:p w14:paraId="5E820976" w14:textId="77777777" w:rsidR="00274D98" w:rsidRDefault="00274D98" w:rsidP="004E4F09">
      <w:pPr>
        <w:pStyle w:val="Heading1"/>
        <w:rPr>
          <w:rFonts w:ascii="Arial" w:hAnsi="Arial" w:cs="Arial"/>
          <w:b/>
          <w:bCs/>
          <w:color w:val="auto"/>
          <w:sz w:val="24"/>
          <w:szCs w:val="24"/>
        </w:rPr>
      </w:pPr>
    </w:p>
    <w:p w14:paraId="6CBCA16D" w14:textId="77777777" w:rsidR="00274D98" w:rsidRDefault="00274D98" w:rsidP="004E4F09">
      <w:pPr>
        <w:pStyle w:val="Heading1"/>
        <w:rPr>
          <w:rFonts w:ascii="Arial" w:hAnsi="Arial" w:cs="Arial"/>
          <w:b/>
          <w:bCs/>
          <w:color w:val="auto"/>
          <w:sz w:val="24"/>
          <w:szCs w:val="24"/>
        </w:rPr>
      </w:pPr>
    </w:p>
    <w:p w14:paraId="0563B375" w14:textId="3DB1E575" w:rsidR="004E4F09" w:rsidRPr="004E4F09" w:rsidRDefault="004E4F09" w:rsidP="004E4F09">
      <w:pPr>
        <w:pStyle w:val="Heading1"/>
        <w:rPr>
          <w:rFonts w:ascii="Arial" w:hAnsi="Arial" w:cs="Arial"/>
          <w:b/>
          <w:bCs/>
          <w:color w:val="auto"/>
          <w:sz w:val="24"/>
          <w:szCs w:val="24"/>
        </w:rPr>
      </w:pPr>
      <w:r w:rsidRPr="004E4F09">
        <w:rPr>
          <w:rFonts w:ascii="Arial" w:hAnsi="Arial" w:cs="Arial"/>
          <w:b/>
          <w:bCs/>
          <w:color w:val="auto"/>
          <w:sz w:val="24"/>
          <w:szCs w:val="24"/>
        </w:rPr>
        <w:t>Part A: Strategy Plan</w:t>
      </w:r>
    </w:p>
    <w:p w14:paraId="5CE85077" w14:textId="77777777" w:rsidR="004E4F09" w:rsidRPr="00B43983" w:rsidRDefault="004E4F09" w:rsidP="004E4F09">
      <w:pPr>
        <w:pStyle w:val="Heading2"/>
        <w:rPr>
          <w:rFonts w:asciiTheme="minorHAnsi" w:hAnsiTheme="minorHAnsi" w:cstheme="minorHAnsi"/>
          <w:sz w:val="24"/>
          <w:szCs w:val="24"/>
        </w:rPr>
      </w:pPr>
      <w:r w:rsidRPr="00B43983">
        <w:rPr>
          <w:rFonts w:asciiTheme="minorHAnsi" w:hAnsiTheme="minorHAnsi" w:cstheme="minorHAnsi"/>
          <w:sz w:val="24"/>
          <w:szCs w:val="24"/>
        </w:rPr>
        <w:t>Statement of Intent</w:t>
      </w:r>
    </w:p>
    <w:p w14:paraId="4B68B57C" w14:textId="038F6D23" w:rsidR="00A74920" w:rsidRDefault="00FA7CF8" w:rsidP="004562AB">
      <w:pPr>
        <w:shd w:val="clear" w:color="auto" w:fill="FFFFFF"/>
        <w:spacing w:after="150"/>
        <w:rPr>
          <w:rFonts w:ascii="Arial" w:hAnsi="Arial" w:cs="Arial"/>
          <w:sz w:val="21"/>
          <w:szCs w:val="21"/>
        </w:rPr>
      </w:pPr>
      <w:r>
        <w:rPr>
          <w:rFonts w:ascii="Arial" w:hAnsi="Arial" w:cs="Arial"/>
          <w:sz w:val="21"/>
          <w:szCs w:val="21"/>
        </w:rPr>
        <w:t>We believe that</w:t>
      </w:r>
      <w:r w:rsidR="001A4513">
        <w:rPr>
          <w:rFonts w:ascii="Arial" w:hAnsi="Arial" w:cs="Arial"/>
          <w:sz w:val="21"/>
          <w:szCs w:val="21"/>
        </w:rPr>
        <w:t xml:space="preserve"> it is necessary for a</w:t>
      </w:r>
      <w:r w:rsidRPr="00FA7CF8">
        <w:rPr>
          <w:rFonts w:ascii="Arial" w:hAnsi="Arial" w:cs="Arial"/>
          <w:sz w:val="21"/>
          <w:szCs w:val="21"/>
        </w:rPr>
        <w:t xml:space="preserve">ll learners </w:t>
      </w:r>
      <w:r w:rsidR="001A4513">
        <w:rPr>
          <w:rFonts w:ascii="Arial" w:hAnsi="Arial" w:cs="Arial"/>
          <w:sz w:val="21"/>
          <w:szCs w:val="21"/>
        </w:rPr>
        <w:t xml:space="preserve">to be </w:t>
      </w:r>
      <w:r w:rsidRPr="00FA7CF8">
        <w:rPr>
          <w:rFonts w:ascii="Arial" w:hAnsi="Arial" w:cs="Arial"/>
          <w:sz w:val="21"/>
          <w:szCs w:val="21"/>
        </w:rPr>
        <w:t>socially and emotionally thriving demonstrating readiness to learn</w:t>
      </w:r>
      <w:r w:rsidR="001A4513">
        <w:rPr>
          <w:rFonts w:ascii="Arial" w:hAnsi="Arial" w:cs="Arial"/>
          <w:sz w:val="21"/>
          <w:szCs w:val="21"/>
        </w:rPr>
        <w:t xml:space="preserve"> in an environment that is safe and secure</w:t>
      </w:r>
      <w:r w:rsidRPr="00FA7CF8">
        <w:rPr>
          <w:rFonts w:ascii="Arial" w:hAnsi="Arial" w:cs="Arial"/>
          <w:sz w:val="21"/>
          <w:szCs w:val="21"/>
        </w:rPr>
        <w:t xml:space="preserve">. </w:t>
      </w:r>
      <w:r w:rsidR="00762C1C">
        <w:rPr>
          <w:rFonts w:ascii="Arial" w:hAnsi="Arial" w:cs="Arial"/>
          <w:sz w:val="21"/>
          <w:szCs w:val="21"/>
        </w:rPr>
        <w:t>L</w:t>
      </w:r>
      <w:r w:rsidR="009A0E43">
        <w:rPr>
          <w:rFonts w:ascii="Arial" w:hAnsi="Arial" w:cs="Arial"/>
          <w:sz w:val="21"/>
          <w:szCs w:val="21"/>
        </w:rPr>
        <w:t>eaders effective</w:t>
      </w:r>
      <w:r w:rsidR="009F0901">
        <w:rPr>
          <w:rFonts w:ascii="Arial" w:hAnsi="Arial" w:cs="Arial"/>
          <w:sz w:val="21"/>
          <w:szCs w:val="21"/>
        </w:rPr>
        <w:t>ly</w:t>
      </w:r>
      <w:r w:rsidR="009A0E43">
        <w:rPr>
          <w:rFonts w:ascii="Arial" w:hAnsi="Arial" w:cs="Arial"/>
          <w:sz w:val="21"/>
          <w:szCs w:val="21"/>
        </w:rPr>
        <w:t xml:space="preserve"> plan, monitor and review strategically so that h</w:t>
      </w:r>
      <w:r w:rsidRPr="00FA7CF8">
        <w:rPr>
          <w:rFonts w:ascii="Arial" w:hAnsi="Arial" w:cs="Arial"/>
          <w:sz w:val="21"/>
          <w:szCs w:val="21"/>
        </w:rPr>
        <w:t>igh quality teaching &amp; learning meets the individual needs of all learners, accessing high expectations and support to achieve</w:t>
      </w:r>
      <w:r w:rsidR="009A0E43">
        <w:rPr>
          <w:rFonts w:ascii="Arial" w:hAnsi="Arial" w:cs="Arial"/>
          <w:sz w:val="21"/>
          <w:szCs w:val="21"/>
        </w:rPr>
        <w:t xml:space="preserve"> </w:t>
      </w:r>
      <w:r w:rsidR="009F0901">
        <w:rPr>
          <w:rFonts w:ascii="Arial" w:hAnsi="Arial" w:cs="Arial"/>
          <w:sz w:val="21"/>
          <w:szCs w:val="21"/>
        </w:rPr>
        <w:t>individual</w:t>
      </w:r>
      <w:r w:rsidR="009A0E43">
        <w:rPr>
          <w:rFonts w:ascii="Arial" w:hAnsi="Arial" w:cs="Arial"/>
          <w:sz w:val="21"/>
          <w:szCs w:val="21"/>
        </w:rPr>
        <w:t xml:space="preserve"> </w:t>
      </w:r>
      <w:r w:rsidR="009F0901">
        <w:rPr>
          <w:rFonts w:ascii="Arial" w:hAnsi="Arial" w:cs="Arial"/>
          <w:sz w:val="21"/>
          <w:szCs w:val="21"/>
        </w:rPr>
        <w:t>success</w:t>
      </w:r>
      <w:r w:rsidR="00AF5319">
        <w:rPr>
          <w:rFonts w:ascii="Arial" w:hAnsi="Arial" w:cs="Arial"/>
          <w:sz w:val="21"/>
          <w:szCs w:val="21"/>
        </w:rPr>
        <w:t xml:space="preserve">. </w:t>
      </w:r>
      <w:r w:rsidRPr="00FA7CF8">
        <w:rPr>
          <w:rFonts w:ascii="Arial" w:hAnsi="Arial" w:cs="Arial"/>
          <w:sz w:val="21"/>
          <w:szCs w:val="21"/>
        </w:rPr>
        <w:t>All learners receive</w:t>
      </w:r>
      <w:r w:rsidR="009F0901">
        <w:rPr>
          <w:rFonts w:ascii="Arial" w:hAnsi="Arial" w:cs="Arial"/>
          <w:sz w:val="21"/>
          <w:szCs w:val="21"/>
        </w:rPr>
        <w:t xml:space="preserve"> effective</w:t>
      </w:r>
      <w:r w:rsidRPr="00FA7CF8">
        <w:rPr>
          <w:rFonts w:ascii="Arial" w:hAnsi="Arial" w:cs="Arial"/>
          <w:sz w:val="21"/>
          <w:szCs w:val="21"/>
        </w:rPr>
        <w:t xml:space="preserve"> support and interventions closely matched to individual need. Barriers are removed and success in learning </w:t>
      </w:r>
      <w:r w:rsidR="009F0901">
        <w:rPr>
          <w:rFonts w:ascii="Arial" w:hAnsi="Arial" w:cs="Arial"/>
          <w:sz w:val="21"/>
          <w:szCs w:val="21"/>
        </w:rPr>
        <w:t xml:space="preserve">will be </w:t>
      </w:r>
      <w:r w:rsidRPr="00FA7CF8">
        <w:rPr>
          <w:rFonts w:ascii="Arial" w:hAnsi="Arial" w:cs="Arial"/>
          <w:sz w:val="21"/>
          <w:szCs w:val="21"/>
        </w:rPr>
        <w:t>achieved</w:t>
      </w:r>
      <w:r w:rsidR="009F0901">
        <w:rPr>
          <w:rFonts w:ascii="Arial" w:hAnsi="Arial" w:cs="Arial"/>
          <w:sz w:val="21"/>
          <w:szCs w:val="21"/>
        </w:rPr>
        <w:t xml:space="preserve"> </w:t>
      </w:r>
      <w:r w:rsidR="00985743">
        <w:rPr>
          <w:rFonts w:ascii="Arial" w:hAnsi="Arial" w:cs="Arial"/>
          <w:sz w:val="21"/>
          <w:szCs w:val="21"/>
        </w:rPr>
        <w:t>for</w:t>
      </w:r>
      <w:r w:rsidRPr="00FA7CF8">
        <w:rPr>
          <w:rFonts w:ascii="Arial" w:hAnsi="Arial" w:cs="Arial"/>
          <w:sz w:val="21"/>
          <w:szCs w:val="21"/>
        </w:rPr>
        <w:t xml:space="preserve"> learners make rapid progress and attainment</w:t>
      </w:r>
      <w:r w:rsidR="0098229A">
        <w:rPr>
          <w:rFonts w:ascii="Arial" w:hAnsi="Arial" w:cs="Arial"/>
          <w:sz w:val="21"/>
          <w:szCs w:val="21"/>
        </w:rPr>
        <w:t xml:space="preserve">, </w:t>
      </w:r>
      <w:r w:rsidR="00AF5319">
        <w:rPr>
          <w:rFonts w:ascii="Arial" w:hAnsi="Arial" w:cs="Arial"/>
          <w:sz w:val="21"/>
          <w:szCs w:val="21"/>
        </w:rPr>
        <w:t>where progress is measured carefully and adjusted</w:t>
      </w:r>
      <w:r w:rsidR="00AF5319" w:rsidRPr="00FA7CF8">
        <w:rPr>
          <w:rFonts w:ascii="Arial" w:hAnsi="Arial" w:cs="Arial"/>
          <w:sz w:val="21"/>
          <w:szCs w:val="21"/>
        </w:rPr>
        <w:t xml:space="preserve">. </w:t>
      </w:r>
    </w:p>
    <w:p w14:paraId="70854ABC" w14:textId="3B18F9AC" w:rsidR="001E3315" w:rsidRDefault="0098229A" w:rsidP="004562AB">
      <w:pPr>
        <w:shd w:val="clear" w:color="auto" w:fill="FFFFFF"/>
        <w:spacing w:after="150"/>
        <w:rPr>
          <w:rFonts w:ascii="Arial" w:hAnsi="Arial" w:cs="Arial"/>
          <w:sz w:val="21"/>
          <w:szCs w:val="21"/>
        </w:rPr>
      </w:pPr>
      <w:r>
        <w:rPr>
          <w:rFonts w:ascii="Arial" w:hAnsi="Arial" w:cs="Arial"/>
          <w:sz w:val="21"/>
          <w:szCs w:val="21"/>
        </w:rPr>
        <w:t>This is in line with our school vision and values:</w:t>
      </w:r>
    </w:p>
    <w:p w14:paraId="23383BBE" w14:textId="238A899F" w:rsidR="004562AB" w:rsidRPr="00F367B8" w:rsidRDefault="00367099" w:rsidP="004562AB">
      <w:pPr>
        <w:shd w:val="clear" w:color="auto" w:fill="FFFFFF"/>
        <w:spacing w:after="150"/>
        <w:rPr>
          <w:rFonts w:ascii="Arial" w:hAnsi="Arial" w:cs="Arial"/>
          <w:sz w:val="21"/>
          <w:szCs w:val="21"/>
        </w:rPr>
      </w:pPr>
      <w:r w:rsidRPr="009257D9">
        <w:rPr>
          <w:rFonts w:ascii="Arial" w:hAnsi="Arial" w:cs="Arial"/>
          <w:noProof/>
          <w:sz w:val="21"/>
          <w:szCs w:val="21"/>
        </w:rPr>
        <w:drawing>
          <wp:anchor distT="0" distB="0" distL="114300" distR="114300" simplePos="0" relativeHeight="251664384" behindDoc="1" locked="0" layoutInCell="1" allowOverlap="1" wp14:anchorId="4035F887" wp14:editId="16377980">
            <wp:simplePos x="0" y="0"/>
            <wp:positionH relativeFrom="column">
              <wp:posOffset>3169920</wp:posOffset>
            </wp:positionH>
            <wp:positionV relativeFrom="paragraph">
              <wp:posOffset>118110</wp:posOffset>
            </wp:positionV>
            <wp:extent cx="2979420" cy="2979420"/>
            <wp:effectExtent l="0" t="0" r="0" b="0"/>
            <wp:wrapTight wrapText="bothSides">
              <wp:wrapPolygon edited="0">
                <wp:start x="9529" y="967"/>
                <wp:lineTo x="8148" y="1381"/>
                <wp:lineTo x="4281" y="3038"/>
                <wp:lineTo x="4143" y="3591"/>
                <wp:lineTo x="2486" y="5662"/>
                <wp:lineTo x="1381" y="7872"/>
                <wp:lineTo x="967" y="10082"/>
                <wp:lineTo x="1105" y="12568"/>
                <wp:lineTo x="1795" y="14501"/>
                <wp:lineTo x="2624" y="16711"/>
                <wp:lineTo x="4834" y="18921"/>
                <wp:lineTo x="4972" y="19335"/>
                <wp:lineTo x="8701" y="20716"/>
                <wp:lineTo x="9944" y="20992"/>
                <wp:lineTo x="12706" y="20992"/>
                <wp:lineTo x="13396" y="20716"/>
                <wp:lineTo x="17125" y="19197"/>
                <wp:lineTo x="17263" y="18921"/>
                <wp:lineTo x="19335" y="16711"/>
                <wp:lineTo x="20440" y="14501"/>
                <wp:lineTo x="20992" y="12292"/>
                <wp:lineTo x="21130" y="9944"/>
                <wp:lineTo x="20578" y="8425"/>
                <wp:lineTo x="20302" y="7872"/>
                <wp:lineTo x="19749" y="6353"/>
                <wp:lineTo x="19473" y="5662"/>
                <wp:lineTo x="17678" y="3591"/>
                <wp:lineTo x="17678" y="2762"/>
                <wp:lineTo x="13673" y="1381"/>
                <wp:lineTo x="11463" y="967"/>
                <wp:lineTo x="9529" y="967"/>
              </wp:wrapPolygon>
            </wp:wrapTight>
            <wp:docPr id="1752433975" name="Picture 5" descr="A diagram of different colo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33975" name="Picture 5" descr="A diagram of different colors and text&#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9420" cy="2979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1"/>
          <w:szCs w:val="21"/>
        </w:rPr>
        <w:drawing>
          <wp:anchor distT="0" distB="0" distL="114300" distR="114300" simplePos="0" relativeHeight="251659264" behindDoc="1" locked="0" layoutInCell="1" allowOverlap="1" wp14:anchorId="243D0298" wp14:editId="08433AE8">
            <wp:simplePos x="0" y="0"/>
            <wp:positionH relativeFrom="page">
              <wp:posOffset>320040</wp:posOffset>
            </wp:positionH>
            <wp:positionV relativeFrom="paragraph">
              <wp:posOffset>201930</wp:posOffset>
            </wp:positionV>
            <wp:extent cx="3840480" cy="2712720"/>
            <wp:effectExtent l="0" t="0" r="7620" b="0"/>
            <wp:wrapTight wrapText="bothSides">
              <wp:wrapPolygon edited="0">
                <wp:start x="0" y="0"/>
                <wp:lineTo x="0" y="21388"/>
                <wp:lineTo x="21536" y="21388"/>
                <wp:lineTo x="21536" y="0"/>
                <wp:lineTo x="0" y="0"/>
              </wp:wrapPolygon>
            </wp:wrapTight>
            <wp:docPr id="649016668" name="Picture 3"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16668" name="Picture 3" descr="A close-up of a car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40480" cy="2712720"/>
                    </a:xfrm>
                    <a:prstGeom prst="rect">
                      <a:avLst/>
                    </a:prstGeom>
                  </pic:spPr>
                </pic:pic>
              </a:graphicData>
            </a:graphic>
            <wp14:sizeRelH relativeFrom="margin">
              <wp14:pctWidth>0</wp14:pctWidth>
            </wp14:sizeRelH>
            <wp14:sizeRelV relativeFrom="margin">
              <wp14:pctHeight>0</wp14:pctHeight>
            </wp14:sizeRelV>
          </wp:anchor>
        </w:drawing>
      </w:r>
      <w:r w:rsidR="00B810D0">
        <w:rPr>
          <w:noProof/>
        </w:rPr>
        <mc:AlternateContent>
          <mc:Choice Requires="wps">
            <w:drawing>
              <wp:inline distT="0" distB="0" distL="0" distR="0" wp14:anchorId="6BB920EF" wp14:editId="633C9155">
                <wp:extent cx="304800" cy="304800"/>
                <wp:effectExtent l="0" t="0" r="0" b="0"/>
                <wp:docPr id="50644935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564F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562AB" w:rsidRPr="00F367B8">
        <w:rPr>
          <w:rFonts w:ascii="Arial" w:hAnsi="Arial" w:cs="Arial"/>
          <w:sz w:val="21"/>
          <w:szCs w:val="21"/>
        </w:rPr>
        <w:t> </w:t>
      </w:r>
      <w:r w:rsidR="00B810D0">
        <w:rPr>
          <w:noProof/>
        </w:rPr>
        <mc:AlternateContent>
          <mc:Choice Requires="wps">
            <w:drawing>
              <wp:inline distT="0" distB="0" distL="0" distR="0" wp14:anchorId="49131784" wp14:editId="53E345E8">
                <wp:extent cx="304800" cy="304800"/>
                <wp:effectExtent l="0" t="0" r="0" b="0"/>
                <wp:docPr id="68681126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D396E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8C3605" w14:textId="3FA57DB7" w:rsidR="009257D9" w:rsidRPr="009257D9" w:rsidRDefault="009257D9" w:rsidP="009257D9">
      <w:pPr>
        <w:shd w:val="clear" w:color="auto" w:fill="FFFFFF"/>
        <w:spacing w:after="150"/>
        <w:rPr>
          <w:rFonts w:ascii="Arial" w:hAnsi="Arial" w:cs="Arial"/>
          <w:sz w:val="21"/>
          <w:szCs w:val="21"/>
        </w:rPr>
      </w:pPr>
    </w:p>
    <w:p w14:paraId="5E3EEEA7" w14:textId="2199E88A" w:rsidR="009257D9" w:rsidRDefault="009257D9" w:rsidP="004562AB">
      <w:pPr>
        <w:shd w:val="clear" w:color="auto" w:fill="FFFFFF"/>
        <w:spacing w:after="150"/>
        <w:rPr>
          <w:rFonts w:ascii="Arial" w:hAnsi="Arial" w:cs="Arial"/>
          <w:sz w:val="21"/>
          <w:szCs w:val="21"/>
        </w:rPr>
      </w:pPr>
    </w:p>
    <w:p w14:paraId="1EB76599" w14:textId="77777777" w:rsidR="009257D9" w:rsidRDefault="009257D9" w:rsidP="004562AB">
      <w:pPr>
        <w:shd w:val="clear" w:color="auto" w:fill="FFFFFF"/>
        <w:spacing w:after="150"/>
        <w:rPr>
          <w:rFonts w:ascii="Arial" w:hAnsi="Arial" w:cs="Arial"/>
          <w:sz w:val="21"/>
          <w:szCs w:val="21"/>
        </w:rPr>
      </w:pPr>
    </w:p>
    <w:p w14:paraId="3BACE138" w14:textId="77777777" w:rsidR="00367099" w:rsidRDefault="00367099" w:rsidP="004562AB">
      <w:pPr>
        <w:shd w:val="clear" w:color="auto" w:fill="FFFFFF"/>
        <w:spacing w:after="150"/>
        <w:rPr>
          <w:rFonts w:ascii="Arial" w:hAnsi="Arial" w:cs="Arial"/>
          <w:sz w:val="21"/>
          <w:szCs w:val="21"/>
        </w:rPr>
      </w:pPr>
    </w:p>
    <w:p w14:paraId="264D056F" w14:textId="77777777" w:rsidR="009257D9" w:rsidRDefault="009257D9" w:rsidP="004562AB">
      <w:pPr>
        <w:shd w:val="clear" w:color="auto" w:fill="FFFFFF"/>
        <w:spacing w:after="150"/>
        <w:rPr>
          <w:rFonts w:ascii="Arial" w:hAnsi="Arial" w:cs="Arial"/>
          <w:sz w:val="21"/>
          <w:szCs w:val="21"/>
        </w:rPr>
      </w:pPr>
    </w:p>
    <w:p w14:paraId="3F58A4A4" w14:textId="3926F335" w:rsidR="004562AB" w:rsidRPr="003D201C" w:rsidRDefault="004562AB" w:rsidP="004562AB">
      <w:pPr>
        <w:shd w:val="clear" w:color="auto" w:fill="FFFFFF"/>
        <w:spacing w:after="150"/>
        <w:rPr>
          <w:rFonts w:ascii="Arial" w:hAnsi="Arial" w:cs="Arial"/>
          <w:sz w:val="21"/>
          <w:szCs w:val="21"/>
        </w:rPr>
      </w:pPr>
      <w:r w:rsidRPr="00F367B8">
        <w:rPr>
          <w:rFonts w:ascii="Arial" w:hAnsi="Arial" w:cs="Arial"/>
          <w:sz w:val="21"/>
          <w:szCs w:val="21"/>
        </w:rPr>
        <w:t>We will support out learners to become:</w:t>
      </w:r>
    </w:p>
    <w:p w14:paraId="46B0FF65" w14:textId="77777777" w:rsidR="004562AB" w:rsidRPr="00F367B8" w:rsidRDefault="004562AB" w:rsidP="004562AB">
      <w:pPr>
        <w:shd w:val="clear" w:color="auto" w:fill="FFFFFF"/>
        <w:spacing w:after="150"/>
        <w:rPr>
          <w:rFonts w:ascii="Arial" w:hAnsi="Arial" w:cs="Arial"/>
          <w:color w:val="6B6B6B"/>
          <w:sz w:val="21"/>
          <w:szCs w:val="21"/>
        </w:rPr>
      </w:pPr>
    </w:p>
    <w:p w14:paraId="0F429B0A" w14:textId="77777777" w:rsidR="004562AB" w:rsidRPr="00F367B8" w:rsidRDefault="004562AB" w:rsidP="004562AB">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Ambitious, capable learners, ready to learn throughout their lives</w:t>
      </w:r>
    </w:p>
    <w:p w14:paraId="09427DD7" w14:textId="77777777" w:rsidR="004562AB" w:rsidRPr="00F367B8" w:rsidRDefault="004562AB" w:rsidP="004562AB">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Enterprising, creative contributors, ready to play a full part in life and work</w:t>
      </w:r>
    </w:p>
    <w:p w14:paraId="56E26537" w14:textId="77777777" w:rsidR="004562AB" w:rsidRPr="00F367B8" w:rsidRDefault="004562AB" w:rsidP="004562AB">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Ethical, informed citizens of Wales and the world</w:t>
      </w:r>
    </w:p>
    <w:p w14:paraId="4253F790" w14:textId="76E729D4" w:rsidR="003E2318" w:rsidRDefault="004562AB" w:rsidP="003E2318">
      <w:pPr>
        <w:numPr>
          <w:ilvl w:val="0"/>
          <w:numId w:val="29"/>
        </w:numPr>
        <w:shd w:val="clear" w:color="auto" w:fill="FFFFFF"/>
        <w:spacing w:before="100" w:beforeAutospacing="1" w:after="100" w:afterAutospacing="1"/>
        <w:rPr>
          <w:rFonts w:ascii="Arial" w:hAnsi="Arial" w:cs="Arial"/>
          <w:sz w:val="21"/>
          <w:szCs w:val="21"/>
        </w:rPr>
      </w:pPr>
      <w:r w:rsidRPr="00F367B8">
        <w:rPr>
          <w:rFonts w:ascii="Arial" w:hAnsi="Arial" w:cs="Arial"/>
          <w:sz w:val="21"/>
          <w:szCs w:val="21"/>
        </w:rPr>
        <w:t>Healthy, confident individuals, ready to lead fulfilling lives as valued members of society</w:t>
      </w:r>
    </w:p>
    <w:p w14:paraId="76CE0D46" w14:textId="77777777" w:rsidR="009257D9" w:rsidRDefault="009257D9" w:rsidP="009257D9">
      <w:pPr>
        <w:shd w:val="clear" w:color="auto" w:fill="FFFFFF"/>
        <w:spacing w:before="100" w:beforeAutospacing="1" w:after="100" w:afterAutospacing="1"/>
        <w:rPr>
          <w:rFonts w:ascii="Arial" w:hAnsi="Arial" w:cs="Arial"/>
          <w:sz w:val="21"/>
          <w:szCs w:val="21"/>
        </w:rPr>
      </w:pPr>
    </w:p>
    <w:p w14:paraId="09633930" w14:textId="77777777" w:rsidR="009257D9" w:rsidRPr="001E3315" w:rsidRDefault="009257D9" w:rsidP="009257D9">
      <w:pPr>
        <w:shd w:val="clear" w:color="auto" w:fill="FFFFFF"/>
        <w:spacing w:before="100" w:beforeAutospacing="1" w:after="100" w:afterAutospacing="1"/>
        <w:rPr>
          <w:rFonts w:ascii="Arial" w:hAnsi="Arial" w:cs="Arial"/>
          <w:sz w:val="21"/>
          <w:szCs w:val="21"/>
        </w:rPr>
      </w:pPr>
    </w:p>
    <w:p w14:paraId="47C1B5F5" w14:textId="77777777" w:rsidR="00367099" w:rsidRDefault="00367099" w:rsidP="003E2318">
      <w:pPr>
        <w:pStyle w:val="Heading2"/>
        <w:spacing w:before="600"/>
        <w:rPr>
          <w:rFonts w:ascii="Arial" w:hAnsi="Arial" w:cs="Arial"/>
          <w:sz w:val="24"/>
          <w:szCs w:val="24"/>
        </w:rPr>
      </w:pPr>
    </w:p>
    <w:p w14:paraId="6CD9BC67" w14:textId="6D6E6000" w:rsidR="003E2318" w:rsidRDefault="003E2318" w:rsidP="003E2318">
      <w:pPr>
        <w:pStyle w:val="Heading2"/>
        <w:spacing w:before="600"/>
        <w:rPr>
          <w:rFonts w:ascii="Arial" w:hAnsi="Arial" w:cs="Arial"/>
          <w:sz w:val="24"/>
          <w:szCs w:val="24"/>
        </w:rPr>
      </w:pPr>
      <w:r w:rsidRPr="006435B8">
        <w:rPr>
          <w:rFonts w:ascii="Arial" w:hAnsi="Arial" w:cs="Arial"/>
          <w:sz w:val="24"/>
          <w:szCs w:val="24"/>
        </w:rPr>
        <w:t xml:space="preserve">Intended </w:t>
      </w:r>
      <w:r>
        <w:rPr>
          <w:rFonts w:ascii="Arial" w:hAnsi="Arial" w:cs="Arial"/>
          <w:sz w:val="24"/>
          <w:szCs w:val="24"/>
        </w:rPr>
        <w:t>O</w:t>
      </w:r>
      <w:r w:rsidRPr="006435B8">
        <w:rPr>
          <w:rFonts w:ascii="Arial" w:hAnsi="Arial" w:cs="Arial"/>
          <w:sz w:val="24"/>
          <w:szCs w:val="24"/>
        </w:rPr>
        <w:t xml:space="preserve">utcomes </w:t>
      </w:r>
    </w:p>
    <w:p w14:paraId="781DBD6A" w14:textId="77777777" w:rsidR="003E2318" w:rsidRPr="00EE1B63" w:rsidRDefault="003E2318" w:rsidP="003E2318"/>
    <w:p w14:paraId="27F89168" w14:textId="77777777" w:rsidR="003E2318" w:rsidRDefault="003E2318" w:rsidP="003E2318">
      <w:pPr>
        <w:rPr>
          <w:rFonts w:ascii="Arial" w:hAnsi="Arial" w:cs="Arial"/>
        </w:rPr>
      </w:pPr>
      <w:r w:rsidRPr="006435B8">
        <w:rPr>
          <w:rFonts w:ascii="Arial" w:hAnsi="Arial" w:cs="Arial"/>
        </w:rPr>
        <w:t xml:space="preserve">This explains the outcomes we are aiming for </w:t>
      </w:r>
      <w:r w:rsidRPr="006435B8">
        <w:rPr>
          <w:rFonts w:ascii="Arial" w:hAnsi="Arial" w:cs="Arial"/>
          <w:b/>
          <w:bCs/>
        </w:rPr>
        <w:t>by the end of our current strategy plan</w:t>
      </w:r>
      <w:r w:rsidRPr="006435B8">
        <w:rPr>
          <w:rFonts w:ascii="Arial" w:hAnsi="Arial" w:cs="Arial"/>
        </w:rPr>
        <w:t>, and how we will measure whether they have been achieved.</w:t>
      </w:r>
    </w:p>
    <w:p w14:paraId="2DA7AB04" w14:textId="77777777" w:rsidR="00367099" w:rsidRDefault="00367099" w:rsidP="003E2318">
      <w:pPr>
        <w:rPr>
          <w:rFonts w:ascii="Arial" w:hAnsi="Arial" w:cs="Arial"/>
        </w:rPr>
      </w:pPr>
    </w:p>
    <w:tbl>
      <w:tblPr>
        <w:tblW w:w="6000" w:type="pct"/>
        <w:tblInd w:w="-470" w:type="dxa"/>
        <w:tblCellMar>
          <w:left w:w="10" w:type="dxa"/>
          <w:right w:w="10" w:type="dxa"/>
        </w:tblCellMar>
        <w:tblLook w:val="04A0" w:firstRow="1" w:lastRow="0" w:firstColumn="1" w:lastColumn="0" w:noHBand="0" w:noVBand="1"/>
      </w:tblPr>
      <w:tblGrid>
        <w:gridCol w:w="4288"/>
        <w:gridCol w:w="5852"/>
      </w:tblGrid>
      <w:tr w:rsidR="0082152F" w:rsidRPr="006435B8" w14:paraId="333814AA" w14:textId="77777777" w:rsidTr="005F035E">
        <w:tc>
          <w:tcPr>
            <w:tcW w:w="42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5840638" w14:textId="77777777" w:rsidR="0082152F" w:rsidRPr="006435B8" w:rsidRDefault="0082152F" w:rsidP="003377E2">
            <w:pPr>
              <w:pStyle w:val="TableHeader"/>
              <w:jc w:val="left"/>
              <w:rPr>
                <w:rFonts w:cs="Arial"/>
                <w:color w:val="auto"/>
              </w:rPr>
            </w:pPr>
            <w:r w:rsidRPr="006435B8">
              <w:rPr>
                <w:rFonts w:cs="Arial"/>
                <w:color w:val="auto"/>
              </w:rPr>
              <w:t>Intended outcome</w:t>
            </w:r>
          </w:p>
        </w:tc>
        <w:tc>
          <w:tcPr>
            <w:tcW w:w="58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EF8116" w14:textId="77777777" w:rsidR="0082152F" w:rsidRPr="006435B8" w:rsidRDefault="0082152F" w:rsidP="003377E2">
            <w:pPr>
              <w:pStyle w:val="TableHeader"/>
              <w:jc w:val="left"/>
              <w:rPr>
                <w:rFonts w:cs="Arial"/>
                <w:color w:val="auto"/>
              </w:rPr>
            </w:pPr>
            <w:r w:rsidRPr="006435B8">
              <w:rPr>
                <w:rFonts w:cs="Arial"/>
                <w:color w:val="auto"/>
              </w:rPr>
              <w:t>Success criteria</w:t>
            </w:r>
          </w:p>
        </w:tc>
      </w:tr>
      <w:tr w:rsidR="005F035E" w:rsidRPr="006435B8" w14:paraId="3C2DF076" w14:textId="77777777" w:rsidTr="005F035E">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7034B" w14:textId="14C0CD83" w:rsidR="005F035E" w:rsidRPr="00AF6E94" w:rsidRDefault="005F035E" w:rsidP="005F035E">
            <w:pPr>
              <w:pStyle w:val="TableRow"/>
              <w:numPr>
                <w:ilvl w:val="0"/>
                <w:numId w:val="30"/>
              </w:numPr>
            </w:pPr>
            <w:r w:rsidRPr="00AF6E94">
              <w:t xml:space="preserve">To </w:t>
            </w:r>
            <w:r w:rsidR="001C7D7E" w:rsidRPr="00AF6E94">
              <w:t>improve teachers’ use of on-going assessment to inform appropriate next steps in pupils’ learning and to challenge pupils to achieve to the best of their ability.</w:t>
            </w: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6B01"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Teachers and teaching assistants have high expectations of what pupils can achieve. </w:t>
            </w:r>
          </w:p>
          <w:p w14:paraId="66DC4FD6"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tailor their teaching approaches to meet pupils’ needs successfully.</w:t>
            </w:r>
          </w:p>
          <w:p w14:paraId="035A4E16"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provide pupils with learning activities with suitable challenge and that build systematically on pupils’ existing knowledge, understanding and skills.</w:t>
            </w:r>
          </w:p>
          <w:p w14:paraId="646BF836"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take the opportunity to address misconceptions that arise when pupils are completing tasks independently. </w:t>
            </w:r>
          </w:p>
          <w:p w14:paraId="231E4A05"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ensure independent learning activities enable pupils to consolidate previous learning, deepen their knowledge or extend pupils’ skills suitably. </w:t>
            </w:r>
          </w:p>
          <w:p w14:paraId="10A36D2A"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Many pupils achieve effective progress over time. </w:t>
            </w:r>
          </w:p>
          <w:p w14:paraId="43531E7E"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Many pupils produce work across the curriculum that is of a good quality. </w:t>
            </w:r>
          </w:p>
          <w:p w14:paraId="3E0A41FD"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do not over-direct tasks in small group teaching. </w:t>
            </w:r>
          </w:p>
          <w:p w14:paraId="2664DCF5"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use formative assessment effectively to evaluate pupils’ progress in learning and to plan for pupils’ next steps. </w:t>
            </w:r>
          </w:p>
          <w:p w14:paraId="72BDFBED"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provide pupils with success criteria with a suitable level of challenge. </w:t>
            </w:r>
          </w:p>
          <w:p w14:paraId="07EB3930" w14:textId="77777777" w:rsidR="005B198B"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written feedback informs pupils of what they need to do to improve and supports pupils to progress with their learning. </w:t>
            </w:r>
          </w:p>
          <w:p w14:paraId="02957ECB" w14:textId="4C70FE67" w:rsidR="005F035E" w:rsidRPr="005F035E" w:rsidRDefault="005B198B" w:rsidP="001C7D7E">
            <w:pPr>
              <w:tabs>
                <w:tab w:val="left" w:pos="1402"/>
              </w:tabs>
              <w:rPr>
                <w:rFonts w:ascii="Arial" w:hAnsi="Arial"/>
                <w:sz w:val="22"/>
                <w:szCs w:val="22"/>
              </w:rPr>
            </w:pPr>
            <w:r>
              <w:rPr>
                <w:rFonts w:ascii="Arial" w:hAnsi="Arial"/>
                <w:sz w:val="22"/>
                <w:szCs w:val="22"/>
              </w:rPr>
              <w:t>-</w:t>
            </w:r>
            <w:r w:rsidRPr="005B198B">
              <w:rPr>
                <w:rFonts w:ascii="Arial" w:hAnsi="Arial"/>
                <w:sz w:val="22"/>
                <w:szCs w:val="22"/>
              </w:rPr>
              <w:t xml:space="preserve"> Teachers deploy teaching assistants effectively to support and enhance pupils’ progress with their learning.</w:t>
            </w:r>
          </w:p>
        </w:tc>
      </w:tr>
      <w:tr w:rsidR="00FC5EEA" w:rsidRPr="006435B8" w14:paraId="386CDC2C" w14:textId="77777777" w:rsidTr="005F035E">
        <w:tc>
          <w:tcPr>
            <w:tcW w:w="4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E455" w14:textId="7009F45B" w:rsidR="00FC5EEA" w:rsidRPr="005D0A04" w:rsidRDefault="00D5709B" w:rsidP="005F035E">
            <w:pPr>
              <w:pStyle w:val="TableRow"/>
              <w:numPr>
                <w:ilvl w:val="0"/>
                <w:numId w:val="30"/>
              </w:numPr>
            </w:pPr>
            <w:r w:rsidRPr="005D0A04">
              <w:t>To improve provision for the teaching of and the progressive development of pupils’ skills.</w:t>
            </w:r>
          </w:p>
        </w:tc>
        <w:tc>
          <w:tcPr>
            <w:tcW w:w="5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F1901"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develop their letter formation well and present their work neatly. </w:t>
            </w:r>
          </w:p>
          <w:p w14:paraId="191DAF8B"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develop their technical writing ability well including the use of accurate punctuation and spelling. </w:t>
            </w:r>
          </w:p>
          <w:p w14:paraId="2375B96F"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add interest to their writing by varying their sentence structures successfully and through using a range of vocabulary. </w:t>
            </w:r>
          </w:p>
          <w:p w14:paraId="19B67227" w14:textId="77777777" w:rsidR="005D2280" w:rsidRDefault="005D2280" w:rsidP="001C7D7E">
            <w:pPr>
              <w:tabs>
                <w:tab w:val="left" w:pos="1402"/>
              </w:tabs>
              <w:rPr>
                <w:rFonts w:ascii="Arial" w:hAnsi="Arial"/>
                <w:sz w:val="22"/>
                <w:szCs w:val="22"/>
              </w:rPr>
            </w:pPr>
            <w:r w:rsidRPr="005D2280">
              <w:rPr>
                <w:rFonts w:ascii="Arial" w:hAnsi="Arial"/>
                <w:sz w:val="22"/>
                <w:szCs w:val="22"/>
              </w:rPr>
              <w:t>• Many pupils edit and redraft their work to improve its quality.</w:t>
            </w:r>
          </w:p>
          <w:p w14:paraId="2437F23C"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 Teachers will promote the Welsh language successfully and ensure progressive development in pupils’ Welsh language skills. </w:t>
            </w:r>
          </w:p>
          <w:p w14:paraId="7642D92F"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will develop a strong grasp of Welsh vocabulary and sentence patterns, in line with the expectations for their stage of learning. Many pupils will use the language with increasing confidence both within and outside of Welsh lessons. </w:t>
            </w:r>
          </w:p>
          <w:p w14:paraId="0628DBC0"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Pupils will develop the full range of mathematical skills and knowledge. </w:t>
            </w:r>
          </w:p>
          <w:p w14:paraId="07C25505" w14:textId="77777777" w:rsidR="005D2280" w:rsidRDefault="005D2280" w:rsidP="001C7D7E">
            <w:pPr>
              <w:tabs>
                <w:tab w:val="left" w:pos="1402"/>
              </w:tabs>
              <w:rPr>
                <w:rFonts w:ascii="Arial" w:hAnsi="Arial"/>
                <w:sz w:val="22"/>
                <w:szCs w:val="22"/>
              </w:rPr>
            </w:pPr>
            <w:r w:rsidRPr="005D2280">
              <w:rPr>
                <w:rFonts w:ascii="Arial" w:hAnsi="Arial"/>
                <w:sz w:val="22"/>
                <w:szCs w:val="22"/>
              </w:rPr>
              <w:lastRenderedPageBreak/>
              <w:t xml:space="preserve">• Many pupils apply their numeracy skills to real-life contexts and across the curriculum well. </w:t>
            </w:r>
          </w:p>
          <w:p w14:paraId="690C56CC"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Many pupils will develop a wide range of digital skills successfully and apply these skills at an appropriate level, across the curriculum. </w:t>
            </w:r>
          </w:p>
          <w:p w14:paraId="2D3D12FC" w14:textId="77777777" w:rsidR="005D2280" w:rsidRDefault="005D2280" w:rsidP="001C7D7E">
            <w:pPr>
              <w:tabs>
                <w:tab w:val="left" w:pos="1402"/>
              </w:tabs>
              <w:rPr>
                <w:rFonts w:ascii="Arial" w:hAnsi="Arial"/>
                <w:sz w:val="22"/>
                <w:szCs w:val="22"/>
              </w:rPr>
            </w:pPr>
            <w:r w:rsidRPr="005D2280">
              <w:rPr>
                <w:rFonts w:ascii="Arial" w:hAnsi="Arial"/>
                <w:sz w:val="22"/>
                <w:szCs w:val="22"/>
              </w:rPr>
              <w:t>• Teachers provide pupils with learning activities with suitable challenge and that build systematically on pupils’ existing knowledge, understanding and skills.</w:t>
            </w:r>
          </w:p>
          <w:p w14:paraId="05833B40" w14:textId="77777777" w:rsidR="005D2280" w:rsidRDefault="005D2280" w:rsidP="001C7D7E">
            <w:pPr>
              <w:tabs>
                <w:tab w:val="left" w:pos="1402"/>
              </w:tabs>
              <w:rPr>
                <w:rFonts w:ascii="Arial" w:hAnsi="Arial"/>
                <w:sz w:val="22"/>
                <w:szCs w:val="22"/>
              </w:rPr>
            </w:pPr>
            <w:r w:rsidRPr="005D2280">
              <w:rPr>
                <w:rFonts w:ascii="Arial" w:hAnsi="Arial"/>
                <w:sz w:val="22"/>
                <w:szCs w:val="22"/>
              </w:rPr>
              <w:t xml:space="preserve"> • Many pupils achieve strong progress and produce work across the curriculum to a good standard. </w:t>
            </w:r>
          </w:p>
          <w:p w14:paraId="7B37F8DD" w14:textId="5F6BDA7A" w:rsidR="005D2280" w:rsidRDefault="005D2280" w:rsidP="001C7D7E">
            <w:pPr>
              <w:tabs>
                <w:tab w:val="left" w:pos="1402"/>
              </w:tabs>
              <w:rPr>
                <w:rFonts w:ascii="Arial" w:hAnsi="Arial"/>
                <w:sz w:val="22"/>
                <w:szCs w:val="22"/>
              </w:rPr>
            </w:pPr>
            <w:r w:rsidRPr="005D2280">
              <w:rPr>
                <w:rFonts w:ascii="Arial" w:hAnsi="Arial"/>
                <w:sz w:val="22"/>
                <w:szCs w:val="22"/>
              </w:rPr>
              <w:t xml:space="preserve">• Teachers provide opportunities for pupils to apply their </w:t>
            </w:r>
            <w:r w:rsidR="005B198B" w:rsidRPr="005D2280">
              <w:rPr>
                <w:rFonts w:ascii="Arial" w:hAnsi="Arial"/>
                <w:sz w:val="22"/>
                <w:szCs w:val="22"/>
              </w:rPr>
              <w:t>cross curricular</w:t>
            </w:r>
            <w:r w:rsidRPr="005D2280">
              <w:rPr>
                <w:rFonts w:ascii="Arial" w:hAnsi="Arial"/>
                <w:sz w:val="22"/>
                <w:szCs w:val="22"/>
              </w:rPr>
              <w:t xml:space="preserve"> skills in meaningful contexts across the curriculum. </w:t>
            </w:r>
          </w:p>
          <w:p w14:paraId="7EAC70B5" w14:textId="1684AEF0" w:rsidR="00FC5EEA" w:rsidRPr="00576246" w:rsidRDefault="005D2280" w:rsidP="001C7D7E">
            <w:pPr>
              <w:tabs>
                <w:tab w:val="left" w:pos="1402"/>
              </w:tabs>
              <w:rPr>
                <w:rFonts w:ascii="Arial" w:hAnsi="Arial"/>
                <w:sz w:val="22"/>
                <w:szCs w:val="22"/>
              </w:rPr>
            </w:pPr>
            <w:r w:rsidRPr="005D2280">
              <w:rPr>
                <w:rFonts w:ascii="Arial" w:hAnsi="Arial"/>
                <w:sz w:val="22"/>
                <w:szCs w:val="22"/>
              </w:rPr>
              <w:t>• Teachers ensure independent learning activities enable pupils to consolidate previous learning, deepen their knowledge or extend pupils’ skills suitably</w:t>
            </w:r>
          </w:p>
        </w:tc>
      </w:tr>
    </w:tbl>
    <w:p w14:paraId="37854E6A" w14:textId="77777777" w:rsidR="00D7402A" w:rsidRDefault="00D7402A" w:rsidP="00AD7AAE">
      <w:pPr>
        <w:rPr>
          <w:rFonts w:ascii="Arial" w:hAnsi="Arial" w:cs="Arial"/>
          <w:b/>
        </w:rPr>
      </w:pPr>
    </w:p>
    <w:p w14:paraId="68ECDD75" w14:textId="77777777" w:rsidR="00D7402A" w:rsidRDefault="00D7402A" w:rsidP="00AD7AAE">
      <w:pPr>
        <w:rPr>
          <w:rFonts w:ascii="Arial" w:hAnsi="Arial" w:cs="Arial"/>
          <w:b/>
        </w:rPr>
      </w:pPr>
    </w:p>
    <w:p w14:paraId="5AC1F97A" w14:textId="101DF92D" w:rsidR="00AD7AAE" w:rsidRDefault="00AD7AAE" w:rsidP="00AD7AAE">
      <w:pPr>
        <w:rPr>
          <w:rFonts w:ascii="Arial" w:hAnsi="Arial" w:cs="Arial"/>
          <w:b/>
        </w:rPr>
      </w:pPr>
      <w:r w:rsidRPr="00126E97">
        <w:rPr>
          <w:rFonts w:ascii="Arial" w:hAnsi="Arial" w:cs="Arial"/>
          <w:b/>
        </w:rPr>
        <w:t>Activity in this academic year</w:t>
      </w:r>
    </w:p>
    <w:p w14:paraId="5E8CB654" w14:textId="77777777" w:rsidR="00AD7AAE" w:rsidRPr="00126E97" w:rsidRDefault="00AD7AAE" w:rsidP="00AD7AAE">
      <w:pPr>
        <w:rPr>
          <w:rFonts w:ascii="Arial" w:hAnsi="Arial" w:cs="Arial"/>
          <w:b/>
        </w:rPr>
      </w:pPr>
    </w:p>
    <w:p w14:paraId="075A1B7E" w14:textId="68A5D32D" w:rsidR="00B517ED" w:rsidRDefault="00AD7AAE" w:rsidP="00AD7AAE">
      <w:pPr>
        <w:spacing w:after="480"/>
        <w:rPr>
          <w:rFonts w:ascii="Arial" w:hAnsi="Arial" w:cs="Arial"/>
        </w:rPr>
      </w:pPr>
      <w:r w:rsidRPr="006435B8">
        <w:rPr>
          <w:rFonts w:ascii="Arial" w:hAnsi="Arial" w:cs="Arial"/>
        </w:rPr>
        <w:t xml:space="preserve">This details how we intend to spend our PDG </w:t>
      </w:r>
      <w:r w:rsidRPr="006435B8">
        <w:rPr>
          <w:rFonts w:ascii="Arial" w:hAnsi="Arial" w:cs="Arial"/>
          <w:b/>
          <w:bCs/>
        </w:rPr>
        <w:t>this academic year</w:t>
      </w:r>
      <w:r w:rsidRPr="006435B8">
        <w:rPr>
          <w:rFonts w:ascii="Arial" w:hAnsi="Arial" w:cs="Arial"/>
        </w:rPr>
        <w:t xml:space="preserve"> to address the challenges listed above.</w:t>
      </w:r>
    </w:p>
    <w:p w14:paraId="67408F76" w14:textId="1E94DC68" w:rsidR="00B517ED" w:rsidRPr="00A624EB" w:rsidRDefault="00B517ED" w:rsidP="00B517ED">
      <w:pPr>
        <w:rPr>
          <w:rStyle w:val="normaltextrun"/>
          <w:rFonts w:ascii="Arial" w:hAnsi="Arial" w:cs="Arial"/>
          <w:b/>
          <w:sz w:val="22"/>
          <w:szCs w:val="22"/>
          <w:bdr w:val="none" w:sz="0" w:space="0" w:color="auto" w:frame="1"/>
        </w:rPr>
      </w:pPr>
      <w:r w:rsidRPr="00A624EB">
        <w:rPr>
          <w:rStyle w:val="normaltextrun"/>
          <w:rFonts w:ascii="Arial" w:hAnsi="Arial" w:cs="Arial"/>
          <w:b/>
          <w:sz w:val="22"/>
          <w:szCs w:val="22"/>
          <w:bdr w:val="none" w:sz="0" w:space="0" w:color="auto" w:frame="1"/>
        </w:rPr>
        <w:t xml:space="preserve">Professional Learning to continue to evolve </w:t>
      </w:r>
      <w:r w:rsidR="00613B16">
        <w:rPr>
          <w:rStyle w:val="normaltextrun"/>
          <w:rFonts w:ascii="Arial" w:hAnsi="Arial" w:cs="Arial"/>
          <w:b/>
          <w:sz w:val="22"/>
          <w:szCs w:val="22"/>
          <w:bdr w:val="none" w:sz="0" w:space="0" w:color="auto" w:frame="1"/>
        </w:rPr>
        <w:t>practice:</w:t>
      </w:r>
    </w:p>
    <w:p w14:paraId="1AD0B0B7" w14:textId="77777777" w:rsidR="00B517ED" w:rsidRDefault="00B517ED" w:rsidP="00B517ED">
      <w:pPr>
        <w:rPr>
          <w:rFonts w:ascii="Arial" w:hAnsi="Arial" w:cs="Arial"/>
          <w:color w:val="000000" w:themeColor="text1"/>
          <w:sz w:val="22"/>
          <w:szCs w:val="22"/>
        </w:rPr>
      </w:pPr>
    </w:p>
    <w:p w14:paraId="53181460" w14:textId="28ABA13F" w:rsidR="00B517ED" w:rsidRDefault="00D038EB" w:rsidP="00B517ED">
      <w:pPr>
        <w:pStyle w:val="ListParagraph"/>
        <w:numPr>
          <w:ilvl w:val="0"/>
          <w:numId w:val="32"/>
        </w:numPr>
        <w:rPr>
          <w:rFonts w:ascii="Arial" w:hAnsi="Arial" w:cs="Arial"/>
          <w:b/>
          <w:color w:val="000000" w:themeColor="text1"/>
          <w:sz w:val="22"/>
          <w:szCs w:val="22"/>
        </w:rPr>
      </w:pPr>
      <w:r>
        <w:rPr>
          <w:rFonts w:ascii="Arial" w:hAnsi="Arial" w:cs="Arial"/>
          <w:b/>
          <w:color w:val="000000" w:themeColor="text1"/>
          <w:sz w:val="22"/>
          <w:szCs w:val="22"/>
        </w:rPr>
        <w:t>Ongoing use of on-going assessment</w:t>
      </w:r>
      <w:r w:rsidR="00B226C6">
        <w:rPr>
          <w:rFonts w:ascii="Arial" w:hAnsi="Arial" w:cs="Arial"/>
          <w:b/>
          <w:color w:val="000000" w:themeColor="text1"/>
          <w:sz w:val="22"/>
          <w:szCs w:val="22"/>
        </w:rPr>
        <w:t xml:space="preserve"> (high quality teaching and learning</w:t>
      </w:r>
      <w:r w:rsidR="007A57F2">
        <w:rPr>
          <w:rFonts w:ascii="Arial" w:hAnsi="Arial" w:cs="Arial"/>
          <w:b/>
          <w:color w:val="000000" w:themeColor="text1"/>
          <w:sz w:val="22"/>
          <w:szCs w:val="22"/>
        </w:rPr>
        <w:t>)</w:t>
      </w:r>
      <w:r w:rsidR="00B517ED" w:rsidRPr="00490BF9">
        <w:rPr>
          <w:rFonts w:ascii="Arial" w:hAnsi="Arial" w:cs="Arial"/>
          <w:b/>
          <w:color w:val="000000" w:themeColor="text1"/>
          <w:sz w:val="22"/>
          <w:szCs w:val="22"/>
        </w:rPr>
        <w:t>:</w:t>
      </w:r>
    </w:p>
    <w:p w14:paraId="29428E62" w14:textId="787FF022" w:rsidR="008D16A6" w:rsidRPr="008D16A6" w:rsidRDefault="008D16A6" w:rsidP="008D16A6">
      <w:pPr>
        <w:pStyle w:val="ListParagraph"/>
        <w:numPr>
          <w:ilvl w:val="0"/>
          <w:numId w:val="37"/>
        </w:numPr>
        <w:rPr>
          <w:rFonts w:ascii="Arial" w:hAnsi="Arial" w:cs="Arial"/>
          <w:bCs/>
          <w:color w:val="000000" w:themeColor="text1"/>
          <w:sz w:val="22"/>
          <w:szCs w:val="22"/>
        </w:rPr>
      </w:pPr>
      <w:r w:rsidRPr="008D16A6">
        <w:rPr>
          <w:rFonts w:ascii="Arial" w:hAnsi="Arial" w:cs="Arial"/>
          <w:bCs/>
          <w:color w:val="000000" w:themeColor="text1"/>
          <w:sz w:val="22"/>
          <w:szCs w:val="22"/>
        </w:rPr>
        <w:t>Enable one teacher to participate in the second year of the NPT Teaching and Learning Programme (6-day training), including follow-up support sessions with the Education Support Officer. This will ensure engagement with effective, research-informed practice through collaboration with a triad of teachers across the local authority. Learning gained will be used to inform, upskill, and motivate staff within the school, strengthening alignment with the Curriculum for Wales’s core values and promoting a shared understanding of progression.</w:t>
      </w:r>
    </w:p>
    <w:p w14:paraId="1F07B62B" w14:textId="77777777" w:rsidR="008D16A6" w:rsidRDefault="008D16A6" w:rsidP="008D16A6">
      <w:pPr>
        <w:pStyle w:val="ListParagraph"/>
        <w:numPr>
          <w:ilvl w:val="0"/>
          <w:numId w:val="37"/>
        </w:numPr>
        <w:rPr>
          <w:rFonts w:ascii="Arial" w:hAnsi="Arial" w:cs="Arial"/>
          <w:bCs/>
          <w:color w:val="000000" w:themeColor="text1"/>
          <w:sz w:val="22"/>
          <w:szCs w:val="22"/>
        </w:rPr>
      </w:pPr>
      <w:r>
        <w:rPr>
          <w:rFonts w:ascii="Arial" w:hAnsi="Arial" w:cs="Arial"/>
          <w:bCs/>
          <w:color w:val="000000" w:themeColor="text1"/>
          <w:sz w:val="22"/>
          <w:szCs w:val="22"/>
        </w:rPr>
        <w:t>E</w:t>
      </w:r>
      <w:r w:rsidRPr="008D16A6">
        <w:rPr>
          <w:rFonts w:ascii="Arial" w:hAnsi="Arial" w:cs="Arial"/>
          <w:bCs/>
          <w:color w:val="000000" w:themeColor="text1"/>
          <w:sz w:val="22"/>
          <w:szCs w:val="22"/>
        </w:rPr>
        <w:t>mbed a structured triad professional learning model to promote consistent, high-quality practice across the school. Implement a pilot programme in collaboration with cluster partners, including practitioners from neighbouring primary schools and the secondary feeder school, to facilitate cross-school learning, shared expertise, and aligned pedagogical approaches.</w:t>
      </w:r>
    </w:p>
    <w:p w14:paraId="7CC26D66" w14:textId="2F0FA6A1" w:rsidR="00C26410" w:rsidRDefault="00C26410" w:rsidP="008D16A6">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t>Provide one teacher with bespoke coaching through collaboration with a Teacher Development Officer. This tailored support will focus on individual professional growth, refining teaching strategies, and enhancing classroom practice to improve learner outcomes.</w:t>
      </w:r>
    </w:p>
    <w:p w14:paraId="6EE4BDF9" w14:textId="5F03B31A" w:rsidR="00C26410" w:rsidRDefault="00C26410" w:rsidP="008D16A6">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t>Provide staff in Nursery, Reception, Year 1 and 2, and unit classes with Froebel training to develop a thorough understanding of enabling adults, learning environments, and experiences. This training will enhance their skills in observation, analysis, and responsive teaching, supporting more effective pedagogy and improved outcomes for all learners.</w:t>
      </w:r>
    </w:p>
    <w:p w14:paraId="11E502E0" w14:textId="3A43CF5F" w:rsidR="00C26410" w:rsidRDefault="00C26410" w:rsidP="008D16A6">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t>Implement a termly staff moderation cycle to analyse learner progress across all year groups. Following each moderation session, staff will populate a shared progress overview to ensure visibility of attainment and identify learners requiring targeted intervention. This information will be integrated into the whole-school tracking system, enabling ongoing analysis of progress for FSM pupils and supporting leaders in evaluating the impact of strategies and provision on individual FSM learners over time.</w:t>
      </w:r>
    </w:p>
    <w:p w14:paraId="73D60120" w14:textId="5C91B20D" w:rsidR="00C26410" w:rsidRPr="005B198B" w:rsidRDefault="00C26410" w:rsidP="008D16A6">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lastRenderedPageBreak/>
        <w:t>Facilitate opportunities for staff to collaborate with other professionals within the local authority and across Wales on teaching, learning, and formative assessment. This collaboration will enable staff to share expertise, reflect on practice, and implement improvements, thereby strengthening their pedagogical understanding and enhancing outcomes for learners</w:t>
      </w:r>
      <w:r w:rsidR="00C92787">
        <w:rPr>
          <w:rFonts w:ascii="Arial" w:hAnsi="Arial" w:cs="Arial"/>
          <w:bCs/>
          <w:color w:val="000000" w:themeColor="text1"/>
          <w:sz w:val="22"/>
          <w:szCs w:val="22"/>
        </w:rPr>
        <w:t>.</w:t>
      </w:r>
    </w:p>
    <w:p w14:paraId="3B4D8DB8" w14:textId="77777777" w:rsidR="008D16A6" w:rsidRPr="008D16A6" w:rsidRDefault="008D16A6" w:rsidP="008D16A6">
      <w:pPr>
        <w:rPr>
          <w:rFonts w:ascii="Arial" w:hAnsi="Arial" w:cs="Arial"/>
          <w:bCs/>
          <w:color w:val="000000" w:themeColor="text1"/>
          <w:sz w:val="22"/>
          <w:szCs w:val="22"/>
        </w:rPr>
      </w:pPr>
    </w:p>
    <w:p w14:paraId="5AD09802" w14:textId="77777777" w:rsidR="008D16A6" w:rsidRPr="008D16A6" w:rsidRDefault="008D16A6" w:rsidP="008D16A6">
      <w:pPr>
        <w:pStyle w:val="ListParagraph"/>
        <w:rPr>
          <w:rFonts w:ascii="Arial" w:hAnsi="Arial" w:cs="Arial"/>
          <w:bCs/>
          <w:color w:val="000000" w:themeColor="text1"/>
          <w:sz w:val="22"/>
          <w:szCs w:val="22"/>
        </w:rPr>
      </w:pPr>
    </w:p>
    <w:p w14:paraId="7945A10B" w14:textId="77777777" w:rsidR="00493DB1" w:rsidRPr="00493DB1" w:rsidRDefault="00493DB1" w:rsidP="00CC1FF6">
      <w:pPr>
        <w:pStyle w:val="ListParagraph"/>
        <w:rPr>
          <w:rFonts w:ascii="Arial" w:hAnsi="Arial" w:cs="Arial"/>
          <w:b/>
          <w:color w:val="000000" w:themeColor="text1"/>
          <w:sz w:val="22"/>
          <w:szCs w:val="22"/>
        </w:rPr>
      </w:pPr>
    </w:p>
    <w:p w14:paraId="0A56B2DA" w14:textId="0907BED0" w:rsidR="00A44250" w:rsidRPr="00493DB1" w:rsidRDefault="00A44250" w:rsidP="00B53ACF">
      <w:pPr>
        <w:pStyle w:val="ListParagraph"/>
        <w:numPr>
          <w:ilvl w:val="0"/>
          <w:numId w:val="32"/>
        </w:numPr>
        <w:rPr>
          <w:rFonts w:ascii="Arial" w:hAnsi="Arial" w:cs="Arial"/>
          <w:b/>
          <w:color w:val="000000" w:themeColor="text1"/>
          <w:sz w:val="22"/>
          <w:szCs w:val="22"/>
        </w:rPr>
      </w:pPr>
      <w:r w:rsidRPr="00493DB1">
        <w:rPr>
          <w:rFonts w:ascii="Arial" w:hAnsi="Arial" w:cs="Arial"/>
          <w:b/>
          <w:color w:val="000000" w:themeColor="text1"/>
          <w:sz w:val="22"/>
          <w:szCs w:val="22"/>
        </w:rPr>
        <w:t>Progressive development of pupils</w:t>
      </w:r>
      <w:r w:rsidR="00702536">
        <w:rPr>
          <w:rFonts w:ascii="Arial" w:hAnsi="Arial" w:cs="Arial"/>
          <w:b/>
          <w:color w:val="000000" w:themeColor="text1"/>
          <w:sz w:val="22"/>
          <w:szCs w:val="22"/>
        </w:rPr>
        <w:t>’</w:t>
      </w:r>
      <w:r w:rsidRPr="00493DB1">
        <w:rPr>
          <w:rFonts w:ascii="Arial" w:hAnsi="Arial" w:cs="Arial"/>
          <w:b/>
          <w:color w:val="000000" w:themeColor="text1"/>
          <w:sz w:val="22"/>
          <w:szCs w:val="22"/>
        </w:rPr>
        <w:t xml:space="preserve"> skills</w:t>
      </w:r>
      <w:r w:rsidR="007A57F2">
        <w:rPr>
          <w:rFonts w:ascii="Arial" w:hAnsi="Arial" w:cs="Arial"/>
          <w:b/>
          <w:color w:val="000000" w:themeColor="text1"/>
          <w:sz w:val="22"/>
          <w:szCs w:val="22"/>
        </w:rPr>
        <w:t xml:space="preserve"> (high quality teaching and learning)</w:t>
      </w:r>
      <w:r w:rsidR="00A87FCC" w:rsidRPr="00493DB1">
        <w:rPr>
          <w:rFonts w:ascii="Arial" w:hAnsi="Arial" w:cs="Arial"/>
          <w:b/>
          <w:color w:val="000000" w:themeColor="text1"/>
          <w:sz w:val="22"/>
          <w:szCs w:val="22"/>
        </w:rPr>
        <w:t>:</w:t>
      </w:r>
    </w:p>
    <w:p w14:paraId="72865CC9" w14:textId="1EA10CE6" w:rsidR="00B517ED" w:rsidRDefault="00C87AEC" w:rsidP="00C26410">
      <w:pPr>
        <w:pStyle w:val="ListParagraph"/>
        <w:numPr>
          <w:ilvl w:val="0"/>
          <w:numId w:val="43"/>
        </w:numPr>
        <w:rPr>
          <w:rFonts w:ascii="Arial" w:hAnsi="Arial" w:cs="Arial"/>
          <w:color w:val="000000" w:themeColor="text1"/>
          <w:sz w:val="22"/>
          <w:szCs w:val="22"/>
        </w:rPr>
      </w:pPr>
      <w:r w:rsidRPr="00C87AEC">
        <w:rPr>
          <w:rFonts w:ascii="Arial" w:hAnsi="Arial" w:cs="Arial"/>
          <w:color w:val="000000" w:themeColor="text1"/>
          <w:sz w:val="22"/>
          <w:szCs w:val="22"/>
        </w:rPr>
        <w:t>Strengthen the literacy curriculum by developing pupils’ letter formation and neat presentation, enhancing technical writing skills, and promoting accurate use of punctuation. Pupils will also be supported to evaluate, edit, and redraft their work, fostering greater independence, accuracy, and clarity in their writing.</w:t>
      </w:r>
    </w:p>
    <w:p w14:paraId="2E0E17EF" w14:textId="3BE1E586" w:rsidR="00C87AEC" w:rsidRDefault="00C87AEC" w:rsidP="00C26410">
      <w:pPr>
        <w:pStyle w:val="ListParagraph"/>
        <w:numPr>
          <w:ilvl w:val="0"/>
          <w:numId w:val="43"/>
        </w:numPr>
        <w:rPr>
          <w:rFonts w:ascii="Arial" w:hAnsi="Arial" w:cs="Arial"/>
          <w:color w:val="000000" w:themeColor="text1"/>
          <w:sz w:val="22"/>
          <w:szCs w:val="22"/>
        </w:rPr>
      </w:pPr>
      <w:r w:rsidRPr="00C87AEC">
        <w:rPr>
          <w:rFonts w:ascii="Arial" w:hAnsi="Arial" w:cs="Arial"/>
          <w:color w:val="000000" w:themeColor="text1"/>
          <w:sz w:val="22"/>
          <w:szCs w:val="22"/>
        </w:rPr>
        <w:t>Further develop the curriculum by ensuring all teachers provide pupils with purposeful, cross-curricular opportunities to progress their literacy skills. This approach will embed literacy across all areas, reinforcing reading, writing, and communication skills in meaningful contexts.</w:t>
      </w:r>
    </w:p>
    <w:p w14:paraId="24F57400" w14:textId="254394EE" w:rsidR="00C87AEC" w:rsidRDefault="00C87AEC" w:rsidP="00C26410">
      <w:pPr>
        <w:pStyle w:val="ListParagraph"/>
        <w:numPr>
          <w:ilvl w:val="0"/>
          <w:numId w:val="43"/>
        </w:numPr>
        <w:rPr>
          <w:rFonts w:ascii="Arial" w:hAnsi="Arial" w:cs="Arial"/>
          <w:color w:val="000000" w:themeColor="text1"/>
          <w:sz w:val="22"/>
          <w:szCs w:val="22"/>
        </w:rPr>
      </w:pPr>
      <w:r w:rsidRPr="00C87AEC">
        <w:rPr>
          <w:rFonts w:ascii="Arial" w:hAnsi="Arial" w:cs="Arial"/>
          <w:color w:val="000000" w:themeColor="text1"/>
          <w:sz w:val="22"/>
          <w:szCs w:val="22"/>
        </w:rPr>
        <w:t>Provide training for teachers in assessing pupils’ progress in Monster Phonics. The Literacy Leader will oversee and quality assure the assessment process to ensure accuracy, consistency, and effective use of data to inform teaching and targeted interventions.</w:t>
      </w:r>
    </w:p>
    <w:p w14:paraId="7D1CD000" w14:textId="7CFB00C2" w:rsidR="00C87AEC" w:rsidRDefault="00C87AEC" w:rsidP="00C26410">
      <w:pPr>
        <w:pStyle w:val="ListParagraph"/>
        <w:numPr>
          <w:ilvl w:val="0"/>
          <w:numId w:val="43"/>
        </w:numPr>
        <w:rPr>
          <w:rFonts w:ascii="Arial" w:hAnsi="Arial" w:cs="Arial"/>
          <w:color w:val="000000" w:themeColor="text1"/>
          <w:sz w:val="22"/>
          <w:szCs w:val="22"/>
        </w:rPr>
      </w:pPr>
      <w:r>
        <w:rPr>
          <w:rFonts w:ascii="Arial" w:hAnsi="Arial" w:cs="Arial"/>
          <w:color w:val="000000" w:themeColor="text1"/>
          <w:sz w:val="22"/>
          <w:szCs w:val="22"/>
        </w:rPr>
        <w:t>T</w:t>
      </w:r>
      <w:r w:rsidRPr="00C87AEC">
        <w:rPr>
          <w:rFonts w:ascii="Arial" w:hAnsi="Arial" w:cs="Arial"/>
          <w:color w:val="000000" w:themeColor="text1"/>
          <w:sz w:val="22"/>
          <w:szCs w:val="22"/>
        </w:rPr>
        <w:t>he Literacy Leader will continue to monitor and evaluate literacy provision across the school, maintaining an overview of pupil progress. By analysing trends and patterns, the leader will identify areas for targeted staff support and design bespoke interventions to address gaps and enhance outcomes for all learners.</w:t>
      </w:r>
    </w:p>
    <w:p w14:paraId="08434D8C" w14:textId="437ECF17" w:rsidR="00AD2926" w:rsidRDefault="00AD2926" w:rsidP="00C26410">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Finalise a bespoke Mathematics and Numeracy curriculum that provides all pupils with a Curriculum for Wales (</w:t>
      </w:r>
      <w:proofErr w:type="spellStart"/>
      <w:r w:rsidRPr="00AD2926">
        <w:rPr>
          <w:rFonts w:ascii="Arial" w:hAnsi="Arial" w:cs="Arial"/>
          <w:color w:val="000000" w:themeColor="text1"/>
          <w:sz w:val="22"/>
          <w:szCs w:val="22"/>
        </w:rPr>
        <w:t>CfW</w:t>
      </w:r>
      <w:proofErr w:type="spellEnd"/>
      <w:r w:rsidRPr="00AD2926">
        <w:rPr>
          <w:rFonts w:ascii="Arial" w:hAnsi="Arial" w:cs="Arial"/>
          <w:color w:val="000000" w:themeColor="text1"/>
          <w:sz w:val="22"/>
          <w:szCs w:val="22"/>
        </w:rPr>
        <w:t>) approach, progressing from core skills to problem-solving and investigation through authentic, real-life contexts after each learning period. The Numeracy and Mathematics Lead will provide ongoing support to staff to ensure effective implementation and consistency of practice across the school.</w:t>
      </w:r>
    </w:p>
    <w:p w14:paraId="59C1E081" w14:textId="599FBB0F" w:rsidR="00AD2926" w:rsidRDefault="00AD2926" w:rsidP="00C26410">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Further develop the curriculum by ensuring all teachers provide pupils with purposeful, cross-curricular opportunities to progress their mathematics and numeracy skills. This approach will embed numeracy across all subject areas, reinforcing calculation, problem-solving, and reasoning in meaningful, real-life contexts.</w:t>
      </w:r>
    </w:p>
    <w:p w14:paraId="76962F4D" w14:textId="5C549973" w:rsidR="00AD2926" w:rsidRDefault="00AD2926" w:rsidP="00C26410">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 xml:space="preserve">The LA, in collaboration with the Headteacher or SLT link, will work alongside the Numeracy Coordinator to conduct learning walks, work scrutiny, and pupil feedback activities with members of the Governing Body. This will evaluate the quality of mathematics and numeracy provision and its impact on pupil progress. </w:t>
      </w:r>
      <w:r>
        <w:rPr>
          <w:rFonts w:ascii="Arial" w:hAnsi="Arial" w:cs="Arial"/>
          <w:color w:val="000000" w:themeColor="text1"/>
          <w:sz w:val="22"/>
          <w:szCs w:val="22"/>
        </w:rPr>
        <w:t>An a</w:t>
      </w:r>
      <w:r w:rsidRPr="00AD2926">
        <w:rPr>
          <w:rFonts w:ascii="Arial" w:hAnsi="Arial" w:cs="Arial"/>
          <w:color w:val="000000" w:themeColor="text1"/>
          <w:sz w:val="22"/>
          <w:szCs w:val="22"/>
        </w:rPr>
        <w:t>ction plan will be revised to address identified areas for improvement.</w:t>
      </w:r>
    </w:p>
    <w:p w14:paraId="649232C5" w14:textId="3B39E8AD" w:rsidR="00AD2926" w:rsidRDefault="00AD2926" w:rsidP="00C26410">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The Maths Leader will continue to monitor and evaluate mathematics and numeracy provision across the school, maintaining an overview of pupil progress. By analysing trends and patterns, the leader will identify areas for targeted staff support and design bespoke interventions to address gaps, improve teaching, and enhance outcomes for all learners.</w:t>
      </w:r>
    </w:p>
    <w:p w14:paraId="337ED2E7" w14:textId="68F18800" w:rsidR="00AD2926" w:rsidRDefault="00AD2926" w:rsidP="00C26410">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Embed the Welsh curriculum into the Language, Literacy, and Communication curriculum to ensure a bilingual approach. Finalise a bespoke Welsh curriculum that allows all pupils to progress from foundational language skills to more complex communication and application in meaningful, real-life contexts. The Welsh Leader will provide ongoing support to staff to ensure effective implementation and consistency of practice across the school.</w:t>
      </w:r>
    </w:p>
    <w:p w14:paraId="35B253EA" w14:textId="0FB392E6" w:rsidR="00AD2926" w:rsidRDefault="00AD2926" w:rsidP="00C26410">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 xml:space="preserve">The Welsh Leader will continue to monitor and evaluate Welsh language provision across the school, maintaining an overview of pupil progress. By </w:t>
      </w:r>
      <w:r w:rsidRPr="00AD2926">
        <w:rPr>
          <w:rFonts w:ascii="Arial" w:hAnsi="Arial" w:cs="Arial"/>
          <w:color w:val="000000" w:themeColor="text1"/>
          <w:sz w:val="22"/>
          <w:szCs w:val="22"/>
        </w:rPr>
        <w:lastRenderedPageBreak/>
        <w:t>analysing trends and patterns, the leader will identify areas for targeted staff support and design bespoke interventions to address gaps, strengthen teaching, and enhance outcomes for all learners.</w:t>
      </w:r>
    </w:p>
    <w:p w14:paraId="51EA00AF" w14:textId="0C50BF92" w:rsidR="00C92787" w:rsidRDefault="00C92787" w:rsidP="00C26410">
      <w:pPr>
        <w:pStyle w:val="ListParagraph"/>
        <w:numPr>
          <w:ilvl w:val="0"/>
          <w:numId w:val="43"/>
        </w:numPr>
        <w:rPr>
          <w:rFonts w:ascii="Arial" w:hAnsi="Arial" w:cs="Arial"/>
          <w:color w:val="000000" w:themeColor="text1"/>
          <w:sz w:val="22"/>
          <w:szCs w:val="22"/>
        </w:rPr>
      </w:pPr>
      <w:r w:rsidRPr="00C92787">
        <w:rPr>
          <w:rFonts w:ascii="Arial" w:hAnsi="Arial" w:cs="Arial"/>
          <w:color w:val="000000" w:themeColor="text1"/>
          <w:sz w:val="22"/>
          <w:szCs w:val="22"/>
        </w:rPr>
        <w:t>The Digital Teacher Development Officer (TDO) will support the Digital Learning Coordinator and teachers to strengthen the digital competency curriculum. This will focus on the progressive development of pupils’ skills in communication, coding, modelling, data handling, and computational thinking, ensuring a coherent and consistent approach across the school.</w:t>
      </w:r>
    </w:p>
    <w:p w14:paraId="4CFB06EB" w14:textId="229743F3" w:rsidR="00C92787" w:rsidRDefault="00C92787" w:rsidP="00C26410">
      <w:pPr>
        <w:pStyle w:val="ListParagraph"/>
        <w:numPr>
          <w:ilvl w:val="0"/>
          <w:numId w:val="43"/>
        </w:numPr>
        <w:rPr>
          <w:rFonts w:ascii="Arial" w:hAnsi="Arial" w:cs="Arial"/>
          <w:color w:val="000000" w:themeColor="text1"/>
          <w:sz w:val="22"/>
          <w:szCs w:val="22"/>
        </w:rPr>
      </w:pPr>
      <w:r w:rsidRPr="00C92787">
        <w:rPr>
          <w:rFonts w:ascii="Arial" w:hAnsi="Arial" w:cs="Arial"/>
          <w:color w:val="000000" w:themeColor="text1"/>
          <w:sz w:val="22"/>
          <w:szCs w:val="22"/>
        </w:rPr>
        <w:t>The Digital Teacher Development Officer (TDO) will provide targeted professional learning for teachers, focusing on areas identified for development through the review of pupils’ skills in communication, coding, modelling, data handling, and computational thinking. This will support teachers in improving practice and enhancing pupils’ digital competency across the curriculum.</w:t>
      </w:r>
    </w:p>
    <w:p w14:paraId="6DBA3641" w14:textId="2D935820" w:rsidR="00E760A4" w:rsidRPr="00C92787" w:rsidRDefault="00AD2926" w:rsidP="00B517ED">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The Digital Leader will continue to monitor and evaluate digital learning provision across the school, maintaining an overview of pupils’ progress in digital skills. By analysing trends and patterns, the leader will identify areas for targeted staff support and design bespoke interventions to address gaps, improve digital pedagogy, and enhance outcomes for all learners.</w:t>
      </w:r>
    </w:p>
    <w:p w14:paraId="3A0B7B3A" w14:textId="77777777" w:rsidR="00E760A4" w:rsidRDefault="00E760A4" w:rsidP="00B517ED">
      <w:pPr>
        <w:rPr>
          <w:rFonts w:ascii="Arial" w:hAnsi="Arial" w:cs="Arial"/>
          <w:b/>
          <w:color w:val="000000" w:themeColor="text1"/>
          <w:sz w:val="22"/>
          <w:szCs w:val="22"/>
        </w:rPr>
      </w:pPr>
    </w:p>
    <w:p w14:paraId="27A26F5A" w14:textId="1BC0445E" w:rsidR="00B517ED" w:rsidRPr="00A624EB" w:rsidRDefault="00B517ED" w:rsidP="00B517ED">
      <w:pPr>
        <w:rPr>
          <w:rFonts w:ascii="Arial" w:hAnsi="Arial" w:cs="Arial"/>
          <w:b/>
          <w:color w:val="000000" w:themeColor="text1"/>
          <w:sz w:val="22"/>
          <w:szCs w:val="22"/>
        </w:rPr>
      </w:pPr>
      <w:r w:rsidRPr="00A624EB">
        <w:rPr>
          <w:rFonts w:ascii="Arial" w:hAnsi="Arial" w:cs="Arial"/>
          <w:b/>
          <w:color w:val="000000" w:themeColor="text1"/>
          <w:sz w:val="22"/>
          <w:szCs w:val="22"/>
        </w:rPr>
        <w:t>Targeted Interventions</w:t>
      </w:r>
    </w:p>
    <w:p w14:paraId="1D968B91" w14:textId="7977D1C9" w:rsidR="00B517ED" w:rsidRDefault="00B517ED" w:rsidP="009A5367">
      <w:pPr>
        <w:pStyle w:val="ListParagraph"/>
        <w:numPr>
          <w:ilvl w:val="0"/>
          <w:numId w:val="38"/>
        </w:numPr>
        <w:rPr>
          <w:rFonts w:ascii="Arial" w:hAnsi="Arial" w:cs="Arial"/>
          <w:color w:val="000000" w:themeColor="text1"/>
          <w:sz w:val="22"/>
          <w:szCs w:val="22"/>
        </w:rPr>
      </w:pPr>
      <w:r w:rsidRPr="009A5367">
        <w:rPr>
          <w:rFonts w:ascii="Arial" w:hAnsi="Arial" w:cs="Arial"/>
          <w:color w:val="000000" w:themeColor="text1"/>
          <w:sz w:val="22"/>
          <w:szCs w:val="22"/>
        </w:rPr>
        <w:t>Continue to fund Teaching Assistants to provide targeted intervention to targeted pupils to support their progress with basic skills and their wellbeing</w:t>
      </w:r>
      <w:r w:rsidR="002617D0">
        <w:rPr>
          <w:rFonts w:ascii="Arial" w:hAnsi="Arial" w:cs="Arial"/>
          <w:color w:val="000000" w:themeColor="text1"/>
          <w:sz w:val="22"/>
          <w:szCs w:val="22"/>
        </w:rPr>
        <w:t>, increasing capacity for ELSA support</w:t>
      </w:r>
      <w:r w:rsidRPr="009A5367">
        <w:rPr>
          <w:rFonts w:ascii="Arial" w:hAnsi="Arial" w:cs="Arial"/>
          <w:color w:val="000000" w:themeColor="text1"/>
          <w:sz w:val="22"/>
          <w:szCs w:val="22"/>
        </w:rPr>
        <w:t>.</w:t>
      </w:r>
    </w:p>
    <w:p w14:paraId="3374F22C" w14:textId="77777777" w:rsidR="00B517ED" w:rsidRDefault="00B517ED" w:rsidP="00B517ED">
      <w:pPr>
        <w:rPr>
          <w:rFonts w:ascii="Arial" w:hAnsi="Arial" w:cs="Arial"/>
          <w:color w:val="000000" w:themeColor="text1"/>
          <w:sz w:val="22"/>
          <w:szCs w:val="22"/>
        </w:rPr>
      </w:pPr>
    </w:p>
    <w:p w14:paraId="287B5A2D" w14:textId="08D31119" w:rsidR="00B517ED" w:rsidRPr="00915358" w:rsidRDefault="00B517ED" w:rsidP="00B517ED">
      <w:pPr>
        <w:rPr>
          <w:rFonts w:ascii="Arial" w:hAnsi="Arial" w:cs="Arial"/>
          <w:b/>
          <w:color w:val="000000" w:themeColor="text1"/>
          <w:sz w:val="22"/>
          <w:szCs w:val="22"/>
        </w:rPr>
      </w:pPr>
      <w:r w:rsidRPr="00915358">
        <w:rPr>
          <w:rFonts w:ascii="Arial" w:hAnsi="Arial" w:cs="Arial"/>
          <w:b/>
          <w:color w:val="000000" w:themeColor="text1"/>
          <w:sz w:val="22"/>
          <w:szCs w:val="22"/>
        </w:rPr>
        <w:t>Family Engagement Officer</w:t>
      </w:r>
      <w:r w:rsidR="009A5367">
        <w:rPr>
          <w:rFonts w:ascii="Arial" w:hAnsi="Arial" w:cs="Arial"/>
          <w:b/>
          <w:color w:val="000000" w:themeColor="text1"/>
          <w:sz w:val="22"/>
          <w:szCs w:val="22"/>
        </w:rPr>
        <w:t>- Pilot</w:t>
      </w:r>
    </w:p>
    <w:p w14:paraId="5F2A5100" w14:textId="291FB02B" w:rsidR="00AF6E94" w:rsidRDefault="00B517ED" w:rsidP="005F1B6F">
      <w:pPr>
        <w:pStyle w:val="ListParagraph"/>
        <w:numPr>
          <w:ilvl w:val="0"/>
          <w:numId w:val="38"/>
        </w:numPr>
        <w:rPr>
          <w:rFonts w:ascii="Arial" w:hAnsi="Arial" w:cs="Arial"/>
          <w:color w:val="000000" w:themeColor="text1"/>
          <w:sz w:val="22"/>
          <w:szCs w:val="22"/>
        </w:rPr>
      </w:pPr>
      <w:r w:rsidRPr="00C26410">
        <w:rPr>
          <w:rFonts w:ascii="Arial" w:hAnsi="Arial" w:cs="Arial"/>
          <w:color w:val="000000" w:themeColor="text1"/>
          <w:sz w:val="22"/>
          <w:szCs w:val="22"/>
        </w:rPr>
        <w:t xml:space="preserve">To </w:t>
      </w:r>
      <w:r w:rsidR="009A5367" w:rsidRPr="00C26410">
        <w:rPr>
          <w:rFonts w:ascii="Arial" w:hAnsi="Arial" w:cs="Arial"/>
          <w:color w:val="000000" w:themeColor="text1"/>
          <w:sz w:val="22"/>
          <w:szCs w:val="22"/>
        </w:rPr>
        <w:t xml:space="preserve">continue to support </w:t>
      </w:r>
      <w:r w:rsidR="00215CEA" w:rsidRPr="00C26410">
        <w:rPr>
          <w:rFonts w:ascii="Arial" w:hAnsi="Arial" w:cs="Arial"/>
          <w:color w:val="000000" w:themeColor="text1"/>
          <w:sz w:val="22"/>
          <w:szCs w:val="22"/>
        </w:rPr>
        <w:t>pilot funded by WG to improve community involvement within the school.</w:t>
      </w:r>
      <w:r w:rsidR="00C26410" w:rsidRPr="00C26410">
        <w:rPr>
          <w:rFonts w:ascii="Arial" w:hAnsi="Arial" w:cs="Arial"/>
          <w:color w:val="000000" w:themeColor="text1"/>
          <w:sz w:val="22"/>
          <w:szCs w:val="22"/>
        </w:rPr>
        <w:t xml:space="preserve"> Further resources are required </w:t>
      </w:r>
      <w:r w:rsidR="00C26410">
        <w:rPr>
          <w:rFonts w:ascii="Arial" w:hAnsi="Arial" w:cs="Arial"/>
          <w:color w:val="000000" w:themeColor="text1"/>
          <w:sz w:val="22"/>
          <w:szCs w:val="22"/>
        </w:rPr>
        <w:t xml:space="preserve">to engage a wider number of families. </w:t>
      </w:r>
    </w:p>
    <w:p w14:paraId="48374789" w14:textId="77777777" w:rsidR="00C26410" w:rsidRPr="00C26410" w:rsidRDefault="00C26410" w:rsidP="00C92787">
      <w:pPr>
        <w:pStyle w:val="ListParagraph"/>
        <w:rPr>
          <w:rFonts w:ascii="Arial" w:hAnsi="Arial" w:cs="Arial"/>
          <w:color w:val="000000" w:themeColor="text1"/>
          <w:sz w:val="22"/>
          <w:szCs w:val="22"/>
        </w:rPr>
      </w:pPr>
    </w:p>
    <w:p w14:paraId="26CE6132" w14:textId="67F7AC56" w:rsidR="00AF6E94" w:rsidRDefault="00AF6E94" w:rsidP="00AF6E94">
      <w:pPr>
        <w:rPr>
          <w:rFonts w:ascii="Arial" w:hAnsi="Arial" w:cs="Arial"/>
          <w:b/>
          <w:bCs/>
          <w:color w:val="000000" w:themeColor="text1"/>
          <w:sz w:val="22"/>
          <w:szCs w:val="22"/>
        </w:rPr>
      </w:pPr>
      <w:r w:rsidRPr="00AF6E94">
        <w:rPr>
          <w:rFonts w:ascii="Arial" w:hAnsi="Arial" w:cs="Arial"/>
          <w:b/>
          <w:bCs/>
          <w:color w:val="000000" w:themeColor="text1"/>
          <w:sz w:val="22"/>
          <w:szCs w:val="22"/>
        </w:rPr>
        <w:t>Activity in this academic year These details how we intend to spend our PDG this academic year to address the challenges listed above.</w:t>
      </w:r>
    </w:p>
    <w:p w14:paraId="2044604A" w14:textId="77777777" w:rsidR="002617D0" w:rsidRDefault="002617D0" w:rsidP="00AF6E94">
      <w:pPr>
        <w:rPr>
          <w:rFonts w:ascii="Arial" w:hAnsi="Arial" w:cs="Arial"/>
          <w:color w:val="000000" w:themeColor="text1"/>
          <w:sz w:val="22"/>
          <w:szCs w:val="22"/>
        </w:rPr>
      </w:pPr>
    </w:p>
    <w:p w14:paraId="065F5355" w14:textId="1E298B6A" w:rsidR="00E21D2B" w:rsidRPr="00630D31" w:rsidRDefault="00E21D2B" w:rsidP="00630D31">
      <w:pPr>
        <w:pStyle w:val="ListParagraph"/>
        <w:numPr>
          <w:ilvl w:val="0"/>
          <w:numId w:val="41"/>
        </w:numPr>
        <w:rPr>
          <w:rFonts w:ascii="Arial" w:hAnsi="Arial" w:cs="Arial"/>
          <w:b/>
          <w:color w:val="000000" w:themeColor="text1"/>
          <w:sz w:val="22"/>
          <w:szCs w:val="22"/>
        </w:rPr>
      </w:pPr>
      <w:r w:rsidRPr="00630D31">
        <w:rPr>
          <w:rFonts w:ascii="Arial" w:hAnsi="Arial" w:cs="Arial"/>
          <w:b/>
          <w:color w:val="000000" w:themeColor="text1"/>
          <w:sz w:val="22"/>
          <w:szCs w:val="22"/>
        </w:rPr>
        <w:t>Ongoing use of on-going assessment (high quality teaching and learning):</w:t>
      </w:r>
    </w:p>
    <w:p w14:paraId="60EC57EC" w14:textId="2F1FE181" w:rsidR="00E21D2B" w:rsidRDefault="00E21D2B" w:rsidP="00E21D2B">
      <w:pPr>
        <w:pStyle w:val="ListParagraph"/>
        <w:rPr>
          <w:rFonts w:ascii="Arial" w:hAnsi="Arial" w:cs="Arial"/>
          <w:b/>
          <w:bCs/>
          <w:color w:val="000000" w:themeColor="text1"/>
          <w:sz w:val="22"/>
          <w:szCs w:val="22"/>
        </w:rPr>
      </w:pPr>
      <w:r>
        <w:rPr>
          <w:rFonts w:ascii="Arial" w:hAnsi="Arial" w:cs="Arial"/>
          <w:b/>
          <w:bCs/>
          <w:color w:val="000000" w:themeColor="text1"/>
          <w:sz w:val="22"/>
          <w:szCs w:val="22"/>
        </w:rPr>
        <w:t xml:space="preserve">Budget Cost: </w:t>
      </w:r>
      <w:r w:rsidRPr="00C92787">
        <w:rPr>
          <w:rFonts w:ascii="Arial" w:hAnsi="Arial" w:cs="Arial"/>
          <w:b/>
          <w:bCs/>
          <w:color w:val="000000" w:themeColor="text1"/>
          <w:sz w:val="22"/>
          <w:szCs w:val="22"/>
          <w:highlight w:val="yellow"/>
        </w:rPr>
        <w:t>£</w:t>
      </w:r>
      <w:r w:rsidR="003A18C7" w:rsidRPr="00C92787">
        <w:rPr>
          <w:rFonts w:ascii="Arial" w:hAnsi="Arial" w:cs="Arial"/>
          <w:b/>
          <w:bCs/>
          <w:color w:val="000000" w:themeColor="text1"/>
          <w:sz w:val="22"/>
          <w:szCs w:val="22"/>
          <w:highlight w:val="yellow"/>
        </w:rPr>
        <w:t>20</w:t>
      </w:r>
      <w:r w:rsidRPr="00C92787">
        <w:rPr>
          <w:rFonts w:ascii="Arial" w:hAnsi="Arial" w:cs="Arial"/>
          <w:b/>
          <w:bCs/>
          <w:color w:val="000000" w:themeColor="text1"/>
          <w:sz w:val="22"/>
          <w:szCs w:val="22"/>
          <w:highlight w:val="yellow"/>
        </w:rPr>
        <w:t>,000</w:t>
      </w:r>
    </w:p>
    <w:p w14:paraId="1D5D6768" w14:textId="77777777" w:rsidR="00E21D2B" w:rsidRDefault="00E21D2B" w:rsidP="00E21D2B">
      <w:pPr>
        <w:pStyle w:val="ListParagraph"/>
        <w:rPr>
          <w:rFonts w:ascii="Arial" w:hAnsi="Arial" w:cs="Arial"/>
          <w:b/>
          <w:bCs/>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E21D2B" w14:paraId="3A101C02" w14:textId="77777777" w:rsidTr="00E21D2B">
        <w:tc>
          <w:tcPr>
            <w:tcW w:w="3964" w:type="dxa"/>
            <w:shd w:val="clear" w:color="auto" w:fill="002060"/>
          </w:tcPr>
          <w:p w14:paraId="4B7FDDC0" w14:textId="77777777" w:rsidR="00E21D2B" w:rsidRPr="002A1EF1" w:rsidRDefault="00E21D2B"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036AFA47" w14:textId="77777777" w:rsidR="00E21D2B" w:rsidRPr="002A1EF1" w:rsidRDefault="00E21D2B"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E21D2B" w14:paraId="7FD29371" w14:textId="77777777" w:rsidTr="00E21D2B">
        <w:tc>
          <w:tcPr>
            <w:tcW w:w="3964" w:type="dxa"/>
          </w:tcPr>
          <w:p w14:paraId="7C3FC17E" w14:textId="77777777" w:rsidR="00C92787" w:rsidRPr="008D16A6" w:rsidRDefault="00C92787" w:rsidP="00C92787">
            <w:pPr>
              <w:pStyle w:val="ListParagraph"/>
              <w:numPr>
                <w:ilvl w:val="0"/>
                <w:numId w:val="37"/>
              </w:numPr>
              <w:rPr>
                <w:rFonts w:ascii="Arial" w:hAnsi="Arial" w:cs="Arial"/>
                <w:bCs/>
                <w:color w:val="000000" w:themeColor="text1"/>
                <w:sz w:val="22"/>
                <w:szCs w:val="22"/>
              </w:rPr>
            </w:pPr>
            <w:r w:rsidRPr="008D16A6">
              <w:rPr>
                <w:rFonts w:ascii="Arial" w:hAnsi="Arial" w:cs="Arial"/>
                <w:bCs/>
                <w:color w:val="000000" w:themeColor="text1"/>
                <w:sz w:val="22"/>
                <w:szCs w:val="22"/>
              </w:rPr>
              <w:t xml:space="preserve">Enable one teacher to participate in the second year of the NPT Teaching and Learning Programme (6-day training), including follow-up support sessions with the Education Support Officer. This will ensure engagement with effective, research-informed practice through collaboration with a triad of teachers across the local authority. Learning gained will be used to inform, upskill, and motivate staff within the school, strengthening alignment with the Curriculum for Wales’s core values and </w:t>
            </w:r>
            <w:r w:rsidRPr="008D16A6">
              <w:rPr>
                <w:rFonts w:ascii="Arial" w:hAnsi="Arial" w:cs="Arial"/>
                <w:bCs/>
                <w:color w:val="000000" w:themeColor="text1"/>
                <w:sz w:val="22"/>
                <w:szCs w:val="22"/>
              </w:rPr>
              <w:lastRenderedPageBreak/>
              <w:t>promoting a shared understanding of progression.</w:t>
            </w:r>
          </w:p>
          <w:p w14:paraId="34EF099E" w14:textId="77777777" w:rsidR="00C92787" w:rsidRDefault="00C92787" w:rsidP="00C92787">
            <w:pPr>
              <w:pStyle w:val="ListParagraph"/>
              <w:numPr>
                <w:ilvl w:val="0"/>
                <w:numId w:val="37"/>
              </w:numPr>
              <w:rPr>
                <w:rFonts w:ascii="Arial" w:hAnsi="Arial" w:cs="Arial"/>
                <w:bCs/>
                <w:color w:val="000000" w:themeColor="text1"/>
                <w:sz w:val="22"/>
                <w:szCs w:val="22"/>
              </w:rPr>
            </w:pPr>
            <w:r>
              <w:rPr>
                <w:rFonts w:ascii="Arial" w:hAnsi="Arial" w:cs="Arial"/>
                <w:bCs/>
                <w:color w:val="000000" w:themeColor="text1"/>
                <w:sz w:val="22"/>
                <w:szCs w:val="22"/>
              </w:rPr>
              <w:t>E</w:t>
            </w:r>
            <w:r w:rsidRPr="008D16A6">
              <w:rPr>
                <w:rFonts w:ascii="Arial" w:hAnsi="Arial" w:cs="Arial"/>
                <w:bCs/>
                <w:color w:val="000000" w:themeColor="text1"/>
                <w:sz w:val="22"/>
                <w:szCs w:val="22"/>
              </w:rPr>
              <w:t>mbed a structured triad professional learning model to promote consistent, high-quality practice across the school. Implement a pilot programme in collaboration with cluster partners, including practitioners from neighbouring primary schools and the secondary feeder school, to facilitate cross-school learning, shared expertise, and aligned pedagogical approaches.</w:t>
            </w:r>
          </w:p>
          <w:p w14:paraId="5150BC34" w14:textId="77777777" w:rsidR="00C92787" w:rsidRDefault="00C92787" w:rsidP="00C92787">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t>Provide one teacher with bespoke coaching through collaboration with a Teacher Development Officer. This tailored support will focus on individual professional growth, refining teaching strategies, and enhancing classroom practice to improve learner outcomes.</w:t>
            </w:r>
          </w:p>
          <w:p w14:paraId="2150ED83" w14:textId="77777777" w:rsidR="00C92787" w:rsidRDefault="00C92787" w:rsidP="00C92787">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t>Provide staff in Nursery, Reception, Year 1 and 2, and unit classes with Froebel training to develop a thorough understanding of enabling adults, learning environments, and experiences. This training will enhance their skills in observation, analysis, and responsive teaching, supporting more effective pedagogy and improved outcomes for all learners.</w:t>
            </w:r>
          </w:p>
          <w:p w14:paraId="38B46D2B" w14:textId="77777777" w:rsidR="00C92787" w:rsidRDefault="00C92787" w:rsidP="00C92787">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t>Implement a termly staff moderation cycle to analyse learner progress across all year groups. Following each moderation session, staff will populate a shared progress overview to ensure visibility of attainment and identify learners requiring targeted intervention. This information will be integrated into the whole-school tracking system, enabling ongoing analysis of progress for FSM pupils and supporting leaders in evaluating the impact of strategies and provision on individual FSM learners over time.</w:t>
            </w:r>
          </w:p>
          <w:p w14:paraId="7CCCD565" w14:textId="77777777" w:rsidR="00C92787" w:rsidRPr="005B198B" w:rsidRDefault="00C92787" w:rsidP="00C92787">
            <w:pPr>
              <w:pStyle w:val="ListParagraph"/>
              <w:numPr>
                <w:ilvl w:val="0"/>
                <w:numId w:val="37"/>
              </w:numPr>
              <w:rPr>
                <w:rFonts w:ascii="Arial" w:hAnsi="Arial" w:cs="Arial"/>
                <w:bCs/>
                <w:color w:val="000000" w:themeColor="text1"/>
                <w:sz w:val="22"/>
                <w:szCs w:val="22"/>
              </w:rPr>
            </w:pPr>
            <w:r w:rsidRPr="00C26410">
              <w:rPr>
                <w:rFonts w:ascii="Arial" w:hAnsi="Arial" w:cs="Arial"/>
                <w:bCs/>
                <w:color w:val="000000" w:themeColor="text1"/>
                <w:sz w:val="22"/>
                <w:szCs w:val="22"/>
              </w:rPr>
              <w:lastRenderedPageBreak/>
              <w:t>Facilitate opportunities for staff to collaborate with other professionals within the local authority and across Wales on teaching, learning, and formative assessment. This collaboration will enable staff to share expertise, reflect on practice, and implement improvements, thereby strengthening their pedagogical understanding and enhancing outcomes for learners</w:t>
            </w:r>
          </w:p>
          <w:p w14:paraId="10D77E10" w14:textId="77777777" w:rsidR="00E21D2B" w:rsidRDefault="00E21D2B" w:rsidP="003377E2">
            <w:pPr>
              <w:rPr>
                <w:rFonts w:ascii="Arial" w:hAnsi="Arial" w:cs="Arial"/>
                <w:b/>
                <w:bCs/>
                <w:color w:val="000000" w:themeColor="text1"/>
                <w:sz w:val="22"/>
                <w:szCs w:val="22"/>
              </w:rPr>
            </w:pPr>
          </w:p>
        </w:tc>
        <w:tc>
          <w:tcPr>
            <w:tcW w:w="4486" w:type="dxa"/>
          </w:tcPr>
          <w:p w14:paraId="488B56D0" w14:textId="412C2F5E" w:rsidR="00C92787" w:rsidRDefault="00C92787" w:rsidP="00C92787">
            <w:pPr>
              <w:rPr>
                <w:rFonts w:ascii="Arial" w:hAnsi="Arial" w:cs="Arial"/>
                <w:color w:val="000000" w:themeColor="text1"/>
                <w:sz w:val="22"/>
                <w:szCs w:val="22"/>
              </w:rPr>
            </w:pPr>
            <w:r w:rsidRPr="00C92787">
              <w:rPr>
                <w:rFonts w:ascii="Arial" w:hAnsi="Arial" w:cs="Arial"/>
                <w:color w:val="000000" w:themeColor="text1"/>
                <w:sz w:val="22"/>
                <w:szCs w:val="22"/>
              </w:rPr>
              <w:lastRenderedPageBreak/>
              <w:t xml:space="preserve">The </w:t>
            </w:r>
            <w:r w:rsidRPr="00C92787">
              <w:rPr>
                <w:rFonts w:ascii="Arial" w:hAnsi="Arial" w:cs="Arial"/>
                <w:i/>
                <w:iCs/>
                <w:color w:val="000000" w:themeColor="text1"/>
                <w:sz w:val="22"/>
                <w:szCs w:val="22"/>
              </w:rPr>
              <w:t>EEF Implementation Guidance Report</w:t>
            </w:r>
            <w:r w:rsidRPr="00C92787">
              <w:rPr>
                <w:rFonts w:ascii="Arial" w:hAnsi="Arial" w:cs="Arial"/>
                <w:color w:val="000000" w:themeColor="text1"/>
                <w:sz w:val="22"/>
                <w:szCs w:val="22"/>
              </w:rPr>
              <w:t xml:space="preserve"> emphasises the importance of using highly skilled coaches to provide ongoing instructional support:</w:t>
            </w:r>
            <w:r>
              <w:rPr>
                <w:rFonts w:ascii="Arial" w:hAnsi="Arial" w:cs="Arial"/>
                <w:color w:val="000000" w:themeColor="text1"/>
                <w:sz w:val="22"/>
                <w:szCs w:val="22"/>
              </w:rPr>
              <w:t xml:space="preserve"> </w:t>
            </w:r>
            <w:r w:rsidRPr="00C92787">
              <w:rPr>
                <w:rFonts w:ascii="Arial" w:hAnsi="Arial" w:cs="Arial"/>
                <w:color w:val="000000" w:themeColor="text1"/>
                <w:sz w:val="22"/>
                <w:szCs w:val="22"/>
              </w:rPr>
              <w:t>“If coaching is used to provide follow</w:t>
            </w:r>
            <w:r w:rsidRPr="00C92787">
              <w:rPr>
                <w:rFonts w:ascii="Arial" w:hAnsi="Arial" w:cs="Arial"/>
                <w:color w:val="000000" w:themeColor="text1"/>
                <w:sz w:val="22"/>
                <w:szCs w:val="22"/>
              </w:rPr>
              <w:noBreakHyphen/>
              <w:t xml:space="preserve">on support … ensure the coaches are highly skilled … More effective coaches … offer support in a constructive, collaborative manner …” </w:t>
            </w:r>
            <w:hyperlink r:id="rId15" w:tgtFrame="_blank" w:history="1">
              <w:r w:rsidRPr="00C92787">
                <w:rPr>
                  <w:rStyle w:val="Hyperlink"/>
                  <w:rFonts w:ascii="Arial" w:hAnsi="Arial" w:cs="Arial"/>
                  <w:sz w:val="22"/>
                  <w:szCs w:val="22"/>
                </w:rPr>
                <w:t>EEF</w:t>
              </w:r>
            </w:hyperlink>
          </w:p>
          <w:p w14:paraId="4C02364D" w14:textId="77777777" w:rsidR="00C92787" w:rsidRPr="00C92787" w:rsidRDefault="00C92787" w:rsidP="00C92787">
            <w:pPr>
              <w:rPr>
                <w:rFonts w:ascii="Arial" w:hAnsi="Arial" w:cs="Arial"/>
                <w:color w:val="000000" w:themeColor="text1"/>
                <w:sz w:val="22"/>
                <w:szCs w:val="22"/>
              </w:rPr>
            </w:pPr>
          </w:p>
          <w:p w14:paraId="248E4115" w14:textId="77777777" w:rsidR="00C92787" w:rsidRPr="00C92787" w:rsidRDefault="00C92787" w:rsidP="00C92787">
            <w:pPr>
              <w:rPr>
                <w:rFonts w:ascii="Arial" w:hAnsi="Arial" w:cs="Arial"/>
                <w:color w:val="000000" w:themeColor="text1"/>
                <w:sz w:val="22"/>
                <w:szCs w:val="22"/>
              </w:rPr>
            </w:pPr>
            <w:r w:rsidRPr="00C92787">
              <w:rPr>
                <w:rFonts w:ascii="Arial" w:hAnsi="Arial" w:cs="Arial"/>
                <w:color w:val="000000" w:themeColor="text1"/>
                <w:sz w:val="22"/>
                <w:szCs w:val="22"/>
              </w:rPr>
              <w:t>Research shows that sustained, structured professional development has a strong impact. According to EPI’s review:</w:t>
            </w:r>
          </w:p>
          <w:p w14:paraId="2DFD8C34" w14:textId="77777777" w:rsidR="00C92787" w:rsidRDefault="00C92787" w:rsidP="00C92787">
            <w:pPr>
              <w:rPr>
                <w:rFonts w:ascii="Arial" w:hAnsi="Arial" w:cs="Arial"/>
                <w:color w:val="000000" w:themeColor="text1"/>
                <w:sz w:val="22"/>
                <w:szCs w:val="22"/>
              </w:rPr>
            </w:pPr>
            <w:r w:rsidRPr="00C92787">
              <w:rPr>
                <w:rFonts w:ascii="Arial" w:hAnsi="Arial" w:cs="Arial"/>
                <w:color w:val="000000" w:themeColor="text1"/>
                <w:sz w:val="22"/>
                <w:szCs w:val="22"/>
              </w:rPr>
              <w:t>“High</w:t>
            </w:r>
            <w:r w:rsidRPr="00C92787">
              <w:rPr>
                <w:rFonts w:ascii="Arial" w:hAnsi="Arial" w:cs="Arial"/>
                <w:color w:val="000000" w:themeColor="text1"/>
                <w:sz w:val="22"/>
                <w:szCs w:val="22"/>
              </w:rPr>
              <w:noBreakHyphen/>
              <w:t xml:space="preserve">quality CPD for teachers has a significant effect on pupils’ learning outcomes … CPD programmes have the potential to close the gap … the impact of CPD on pupil outcomes … compares to the impact of having a teacher with ten years’ experience rather than a new graduate.” </w:t>
            </w:r>
          </w:p>
          <w:p w14:paraId="66192EA5" w14:textId="77777777" w:rsidR="00C92787" w:rsidRDefault="00C92787" w:rsidP="00C92787">
            <w:pPr>
              <w:rPr>
                <w:rFonts w:ascii="Arial" w:hAnsi="Arial" w:cs="Arial"/>
                <w:color w:val="000000" w:themeColor="text1"/>
                <w:sz w:val="22"/>
                <w:szCs w:val="22"/>
              </w:rPr>
            </w:pPr>
          </w:p>
          <w:p w14:paraId="039CB123" w14:textId="209495DA" w:rsidR="00C92787" w:rsidRPr="00C92787" w:rsidRDefault="00C92787" w:rsidP="00C92787">
            <w:pPr>
              <w:rPr>
                <w:rFonts w:ascii="Arial" w:hAnsi="Arial" w:cs="Arial"/>
                <w:color w:val="000000" w:themeColor="text1"/>
                <w:sz w:val="22"/>
                <w:szCs w:val="22"/>
              </w:rPr>
            </w:pPr>
            <w:hyperlink r:id="rId16" w:tgtFrame="_blank" w:history="1">
              <w:r w:rsidRPr="00C92787">
                <w:rPr>
                  <w:rStyle w:val="Hyperlink"/>
                  <w:rFonts w:ascii="Arial" w:hAnsi="Arial" w:cs="Arial"/>
                  <w:color w:val="auto"/>
                  <w:sz w:val="22"/>
                  <w:szCs w:val="22"/>
                  <w:u w:val="none"/>
                </w:rPr>
                <w:t>Education Policy Institute</w:t>
              </w:r>
            </w:hyperlink>
            <w:r>
              <w:rPr>
                <w:rFonts w:ascii="Arial" w:hAnsi="Arial" w:cs="Arial"/>
                <w:color w:val="000000" w:themeColor="text1"/>
                <w:sz w:val="22"/>
                <w:szCs w:val="22"/>
              </w:rPr>
              <w:t xml:space="preserve"> state that a</w:t>
            </w:r>
            <w:r w:rsidRPr="00C92787">
              <w:rPr>
                <w:rFonts w:ascii="Arial" w:hAnsi="Arial" w:cs="Arial"/>
                <w:color w:val="000000" w:themeColor="text1"/>
                <w:sz w:val="22"/>
                <w:szCs w:val="22"/>
              </w:rPr>
              <w:t xml:space="preserve"> scalable, research</w:t>
            </w:r>
            <w:r w:rsidRPr="00C92787">
              <w:rPr>
                <w:rFonts w:ascii="Arial" w:hAnsi="Arial" w:cs="Arial"/>
                <w:color w:val="000000" w:themeColor="text1"/>
                <w:sz w:val="22"/>
                <w:szCs w:val="22"/>
              </w:rPr>
              <w:noBreakHyphen/>
              <w:t>engaged model of professional learning emphasises mechanisms such as goal setting, feedback, and practice (which align with your bespoke coaching). As noted in relation to EEF’s approach:</w:t>
            </w:r>
          </w:p>
          <w:p w14:paraId="2D444E54" w14:textId="7F459F70" w:rsidR="00C92787" w:rsidRDefault="00C92787" w:rsidP="00C92787">
            <w:pPr>
              <w:rPr>
                <w:rFonts w:ascii="Arial" w:hAnsi="Arial" w:cs="Arial"/>
                <w:color w:val="000000" w:themeColor="text1"/>
                <w:sz w:val="22"/>
                <w:szCs w:val="22"/>
              </w:rPr>
            </w:pPr>
            <w:r w:rsidRPr="00C92787">
              <w:rPr>
                <w:rFonts w:ascii="Arial" w:hAnsi="Arial" w:cs="Arial"/>
                <w:color w:val="000000" w:themeColor="text1"/>
                <w:sz w:val="22"/>
                <w:szCs w:val="22"/>
              </w:rPr>
              <w:t xml:space="preserve">“Insight … revisit prior learning, ‘goals’ … credible goals … ‘techniques’ … modelling, feedback and strategy rehearsal, and ‘practice’ … ingraining habitual practice.” </w:t>
            </w:r>
          </w:p>
          <w:p w14:paraId="549B28B6" w14:textId="77777777" w:rsidR="00C92787" w:rsidRPr="00C92787" w:rsidRDefault="00C92787" w:rsidP="00C92787">
            <w:pPr>
              <w:rPr>
                <w:rFonts w:ascii="Arial" w:hAnsi="Arial" w:cs="Arial"/>
                <w:color w:val="000000" w:themeColor="text1"/>
                <w:sz w:val="22"/>
                <w:szCs w:val="22"/>
              </w:rPr>
            </w:pPr>
          </w:p>
          <w:p w14:paraId="307DC0B9" w14:textId="77777777" w:rsidR="00C92787" w:rsidRPr="00C92787" w:rsidRDefault="00C92787" w:rsidP="00C92787">
            <w:pPr>
              <w:rPr>
                <w:rFonts w:ascii="Arial" w:hAnsi="Arial" w:cs="Arial"/>
                <w:color w:val="000000" w:themeColor="text1"/>
                <w:sz w:val="22"/>
                <w:szCs w:val="22"/>
              </w:rPr>
            </w:pPr>
            <w:r w:rsidRPr="00C92787">
              <w:rPr>
                <w:rFonts w:ascii="Arial" w:hAnsi="Arial" w:cs="Arial"/>
                <w:color w:val="000000" w:themeColor="text1"/>
                <w:sz w:val="22"/>
                <w:szCs w:val="22"/>
              </w:rPr>
              <w:t>Also, regarding remote professional development (e.g. coaching), the EEF’s rapid evidence assessment found that:</w:t>
            </w:r>
          </w:p>
          <w:p w14:paraId="63574273" w14:textId="77777777" w:rsidR="00C92787" w:rsidRDefault="00C92787" w:rsidP="00C92787">
            <w:pPr>
              <w:rPr>
                <w:rFonts w:ascii="Arial" w:hAnsi="Arial" w:cs="Arial"/>
                <w:color w:val="000000" w:themeColor="text1"/>
                <w:sz w:val="22"/>
                <w:szCs w:val="22"/>
              </w:rPr>
            </w:pPr>
            <w:r w:rsidRPr="00C92787">
              <w:rPr>
                <w:rFonts w:ascii="Arial" w:hAnsi="Arial" w:cs="Arial"/>
                <w:color w:val="000000" w:themeColor="text1"/>
                <w:sz w:val="22"/>
                <w:szCs w:val="22"/>
              </w:rPr>
              <w:t>“Remote coaching, mentoring and expert support can be effective … Making remote content interactive maximises its benefit … spaced approaches enable ongoing interaction … the use of video … enables … review … and reflection.”</w:t>
            </w:r>
          </w:p>
          <w:p w14:paraId="13EBC71F" w14:textId="77777777" w:rsidR="00D34CF7" w:rsidRDefault="00D34CF7" w:rsidP="00D34CF7">
            <w:pPr>
              <w:rPr>
                <w:rFonts w:ascii="Arial" w:hAnsi="Arial" w:cs="Arial"/>
                <w:color w:val="000000" w:themeColor="text1"/>
                <w:sz w:val="22"/>
                <w:szCs w:val="22"/>
              </w:rPr>
            </w:pPr>
          </w:p>
          <w:p w14:paraId="76796A09" w14:textId="77777777" w:rsidR="00D34CF7" w:rsidRDefault="00D34CF7" w:rsidP="00D34CF7">
            <w:pPr>
              <w:rPr>
                <w:rFonts w:ascii="Arial" w:hAnsi="Arial" w:cs="Arial"/>
                <w:color w:val="000000" w:themeColor="text1"/>
                <w:sz w:val="22"/>
                <w:szCs w:val="22"/>
              </w:rPr>
            </w:pPr>
          </w:p>
          <w:p w14:paraId="67A9F4A9" w14:textId="6CFF74B5" w:rsidR="00D34CF7" w:rsidRPr="00D34CF7" w:rsidRDefault="00D34CF7" w:rsidP="00D34CF7">
            <w:pPr>
              <w:rPr>
                <w:rFonts w:ascii="Arial" w:hAnsi="Arial" w:cs="Arial"/>
                <w:b/>
                <w:bCs/>
                <w:color w:val="000000" w:themeColor="text1"/>
                <w:sz w:val="22"/>
                <w:szCs w:val="22"/>
              </w:rPr>
            </w:pPr>
            <w:r w:rsidRPr="00D34CF7">
              <w:rPr>
                <w:rFonts w:ascii="Arial" w:hAnsi="Arial" w:cs="Arial"/>
                <w:b/>
                <w:bCs/>
                <w:color w:val="000000" w:themeColor="text1"/>
                <w:sz w:val="22"/>
                <w:szCs w:val="22"/>
              </w:rPr>
              <w:t xml:space="preserve">Why </w:t>
            </w:r>
            <w:r>
              <w:rPr>
                <w:rFonts w:ascii="Arial" w:hAnsi="Arial" w:cs="Arial"/>
                <w:b/>
                <w:bCs/>
                <w:color w:val="000000" w:themeColor="text1"/>
                <w:sz w:val="22"/>
                <w:szCs w:val="22"/>
              </w:rPr>
              <w:t>t</w:t>
            </w:r>
            <w:r w:rsidRPr="00D34CF7">
              <w:rPr>
                <w:rFonts w:ascii="Arial" w:hAnsi="Arial" w:cs="Arial"/>
                <w:b/>
                <w:bCs/>
                <w:color w:val="000000" w:themeColor="text1"/>
                <w:sz w:val="22"/>
                <w:szCs w:val="22"/>
              </w:rPr>
              <w:t xml:space="preserve">his </w:t>
            </w:r>
            <w:r>
              <w:rPr>
                <w:rFonts w:ascii="Arial" w:hAnsi="Arial" w:cs="Arial"/>
                <w:b/>
                <w:bCs/>
                <w:color w:val="000000" w:themeColor="text1"/>
                <w:sz w:val="22"/>
                <w:szCs w:val="22"/>
              </w:rPr>
              <w:t>r</w:t>
            </w:r>
            <w:r w:rsidRPr="00D34CF7">
              <w:rPr>
                <w:rFonts w:ascii="Arial" w:hAnsi="Arial" w:cs="Arial"/>
                <w:b/>
                <w:bCs/>
                <w:color w:val="000000" w:themeColor="text1"/>
                <w:sz w:val="22"/>
                <w:szCs w:val="22"/>
              </w:rPr>
              <w:t xml:space="preserve">esearch </w:t>
            </w:r>
            <w:r>
              <w:rPr>
                <w:rFonts w:ascii="Arial" w:hAnsi="Arial" w:cs="Arial"/>
                <w:b/>
                <w:bCs/>
                <w:color w:val="000000" w:themeColor="text1"/>
                <w:sz w:val="22"/>
                <w:szCs w:val="22"/>
              </w:rPr>
              <w:t>m</w:t>
            </w:r>
            <w:r w:rsidRPr="00D34CF7">
              <w:rPr>
                <w:rFonts w:ascii="Arial" w:hAnsi="Arial" w:cs="Arial"/>
                <w:b/>
                <w:bCs/>
                <w:color w:val="000000" w:themeColor="text1"/>
                <w:sz w:val="22"/>
                <w:szCs w:val="22"/>
              </w:rPr>
              <w:t xml:space="preserve">atters </w:t>
            </w:r>
            <w:r>
              <w:rPr>
                <w:rFonts w:ascii="Arial" w:hAnsi="Arial" w:cs="Arial"/>
                <w:b/>
                <w:bCs/>
                <w:color w:val="000000" w:themeColor="text1"/>
                <w:sz w:val="22"/>
                <w:szCs w:val="22"/>
              </w:rPr>
              <w:t>to our p</w:t>
            </w:r>
            <w:r w:rsidRPr="00D34CF7">
              <w:rPr>
                <w:rFonts w:ascii="Arial" w:hAnsi="Arial" w:cs="Arial"/>
                <w:b/>
                <w:bCs/>
                <w:color w:val="000000" w:themeColor="text1"/>
                <w:sz w:val="22"/>
                <w:szCs w:val="22"/>
              </w:rPr>
              <w:t>lan</w:t>
            </w:r>
            <w:r>
              <w:rPr>
                <w:rFonts w:ascii="Arial" w:hAnsi="Arial" w:cs="Arial"/>
                <w:b/>
                <w:bCs/>
                <w:color w:val="000000" w:themeColor="text1"/>
                <w:sz w:val="22"/>
                <w:szCs w:val="22"/>
              </w:rPr>
              <w:t>:</w:t>
            </w:r>
          </w:p>
          <w:p w14:paraId="26446F5B" w14:textId="632CAB2E" w:rsidR="00D34CF7" w:rsidRPr="00D34CF7" w:rsidRDefault="00D34CF7" w:rsidP="00D34CF7">
            <w:pPr>
              <w:numPr>
                <w:ilvl w:val="0"/>
                <w:numId w:val="45"/>
              </w:numPr>
              <w:rPr>
                <w:rFonts w:ascii="Arial" w:hAnsi="Arial" w:cs="Arial"/>
                <w:color w:val="000000" w:themeColor="text1"/>
                <w:sz w:val="22"/>
                <w:szCs w:val="22"/>
              </w:rPr>
            </w:pPr>
            <w:r w:rsidRPr="00D34CF7">
              <w:rPr>
                <w:rFonts w:ascii="Arial" w:hAnsi="Arial" w:cs="Arial"/>
                <w:color w:val="000000" w:themeColor="text1"/>
                <w:sz w:val="22"/>
                <w:szCs w:val="22"/>
              </w:rPr>
              <w:t>Using coaching is supported by strong evidence: well-trained coaches and ongoing support are critical to effectively translating training into classroom practice.</w:t>
            </w:r>
          </w:p>
          <w:p w14:paraId="160DB0CD" w14:textId="77777777" w:rsidR="00D34CF7" w:rsidRPr="00D34CF7" w:rsidRDefault="00D34CF7" w:rsidP="00D34CF7">
            <w:pPr>
              <w:ind w:left="720"/>
              <w:rPr>
                <w:rFonts w:ascii="Arial" w:hAnsi="Arial" w:cs="Arial"/>
                <w:color w:val="000000" w:themeColor="text1"/>
                <w:sz w:val="22"/>
                <w:szCs w:val="22"/>
              </w:rPr>
            </w:pPr>
          </w:p>
          <w:p w14:paraId="3671968D" w14:textId="270ABA60" w:rsidR="00D34CF7" w:rsidRPr="00D34CF7" w:rsidRDefault="00D34CF7" w:rsidP="00D34CF7">
            <w:pPr>
              <w:numPr>
                <w:ilvl w:val="0"/>
                <w:numId w:val="45"/>
              </w:numPr>
              <w:rPr>
                <w:rFonts w:ascii="Arial" w:hAnsi="Arial" w:cs="Arial"/>
                <w:color w:val="000000" w:themeColor="text1"/>
                <w:sz w:val="22"/>
                <w:szCs w:val="22"/>
              </w:rPr>
            </w:pPr>
            <w:r w:rsidRPr="00D34CF7">
              <w:rPr>
                <w:rFonts w:ascii="Arial" w:hAnsi="Arial" w:cs="Arial"/>
                <w:color w:val="000000" w:themeColor="text1"/>
                <w:sz w:val="22"/>
                <w:szCs w:val="22"/>
              </w:rPr>
              <w:t>Ongoing professional development (especially when structured around evidence-based mechanisms like feedback, goal setting, and rehearsal) is more likely to produce sustained improvements in teacher practice — and therefore in pupil outcomes.</w:t>
            </w:r>
          </w:p>
          <w:p w14:paraId="4B86CC4B" w14:textId="77777777" w:rsidR="00D34CF7" w:rsidRPr="00D34CF7" w:rsidRDefault="00D34CF7" w:rsidP="00D34CF7">
            <w:pPr>
              <w:rPr>
                <w:rFonts w:ascii="Arial" w:hAnsi="Arial" w:cs="Arial"/>
                <w:color w:val="000000" w:themeColor="text1"/>
                <w:sz w:val="22"/>
                <w:szCs w:val="22"/>
              </w:rPr>
            </w:pPr>
          </w:p>
          <w:p w14:paraId="277DECAD" w14:textId="77777777" w:rsidR="00D34CF7" w:rsidRPr="00C92787" w:rsidRDefault="00D34CF7" w:rsidP="00C92787">
            <w:pPr>
              <w:rPr>
                <w:rFonts w:ascii="Arial" w:hAnsi="Arial" w:cs="Arial"/>
                <w:color w:val="000000" w:themeColor="text1"/>
                <w:sz w:val="22"/>
                <w:szCs w:val="22"/>
              </w:rPr>
            </w:pPr>
          </w:p>
          <w:p w14:paraId="360BDAB8" w14:textId="77777777" w:rsidR="00E21D2B" w:rsidRDefault="00E21D2B" w:rsidP="003377E2">
            <w:pPr>
              <w:rPr>
                <w:rFonts w:ascii="Arial" w:hAnsi="Arial" w:cs="Arial"/>
                <w:b/>
                <w:bCs/>
                <w:color w:val="000000" w:themeColor="text1"/>
                <w:sz w:val="22"/>
                <w:szCs w:val="22"/>
              </w:rPr>
            </w:pPr>
          </w:p>
        </w:tc>
      </w:tr>
    </w:tbl>
    <w:p w14:paraId="06C1950E" w14:textId="77777777" w:rsidR="00E21D2B" w:rsidRDefault="00E21D2B" w:rsidP="00E21D2B">
      <w:pPr>
        <w:pStyle w:val="ListParagraph"/>
        <w:rPr>
          <w:rFonts w:ascii="Arial" w:hAnsi="Arial" w:cs="Arial"/>
          <w:b/>
          <w:bCs/>
          <w:color w:val="000000" w:themeColor="text1"/>
          <w:sz w:val="22"/>
          <w:szCs w:val="22"/>
        </w:rPr>
      </w:pPr>
    </w:p>
    <w:p w14:paraId="3ADB8DB3" w14:textId="0E566F8F" w:rsidR="00702536" w:rsidRPr="00E760A4" w:rsidRDefault="00E760A4" w:rsidP="00E760A4">
      <w:pPr>
        <w:ind w:left="360"/>
        <w:rPr>
          <w:rFonts w:ascii="Arial" w:hAnsi="Arial" w:cs="Arial"/>
          <w:b/>
          <w:color w:val="000000" w:themeColor="text1"/>
          <w:sz w:val="22"/>
          <w:szCs w:val="22"/>
        </w:rPr>
      </w:pPr>
      <w:r>
        <w:rPr>
          <w:rFonts w:ascii="Arial" w:hAnsi="Arial" w:cs="Arial"/>
          <w:b/>
          <w:color w:val="000000" w:themeColor="text1"/>
          <w:sz w:val="22"/>
          <w:szCs w:val="22"/>
        </w:rPr>
        <w:t>2.</w:t>
      </w:r>
      <w:r w:rsidR="00702536" w:rsidRPr="00E760A4">
        <w:rPr>
          <w:rFonts w:ascii="Arial" w:hAnsi="Arial" w:cs="Arial"/>
          <w:b/>
          <w:color w:val="000000" w:themeColor="text1"/>
          <w:sz w:val="22"/>
          <w:szCs w:val="22"/>
        </w:rPr>
        <w:t>Progressive development of pupils’ skills (high quality teaching and learning):</w:t>
      </w:r>
    </w:p>
    <w:p w14:paraId="57E26D7D" w14:textId="2BE9DB9C" w:rsidR="00630D31" w:rsidRDefault="00630D31" w:rsidP="00630D31">
      <w:pPr>
        <w:pStyle w:val="ListParagraph"/>
        <w:rPr>
          <w:rFonts w:ascii="Arial" w:hAnsi="Arial" w:cs="Arial"/>
          <w:b/>
          <w:bCs/>
          <w:color w:val="000000" w:themeColor="text1"/>
          <w:sz w:val="22"/>
          <w:szCs w:val="22"/>
        </w:rPr>
      </w:pPr>
      <w:r>
        <w:rPr>
          <w:rFonts w:ascii="Arial" w:hAnsi="Arial" w:cs="Arial"/>
          <w:b/>
          <w:bCs/>
          <w:color w:val="000000" w:themeColor="text1"/>
          <w:sz w:val="22"/>
          <w:szCs w:val="22"/>
        </w:rPr>
        <w:t xml:space="preserve">Budget Cost: </w:t>
      </w:r>
      <w:r w:rsidRPr="00D34CF7">
        <w:rPr>
          <w:rFonts w:ascii="Arial" w:hAnsi="Arial" w:cs="Arial"/>
          <w:b/>
          <w:bCs/>
          <w:color w:val="000000" w:themeColor="text1"/>
          <w:sz w:val="22"/>
          <w:szCs w:val="22"/>
          <w:highlight w:val="yellow"/>
        </w:rPr>
        <w:t>£</w:t>
      </w:r>
      <w:r w:rsidR="003A18C7" w:rsidRPr="00D34CF7">
        <w:rPr>
          <w:rFonts w:ascii="Arial" w:hAnsi="Arial" w:cs="Arial"/>
          <w:b/>
          <w:bCs/>
          <w:color w:val="000000" w:themeColor="text1"/>
          <w:sz w:val="22"/>
          <w:szCs w:val="22"/>
          <w:highlight w:val="yellow"/>
        </w:rPr>
        <w:t>20</w:t>
      </w:r>
      <w:r w:rsidRPr="00D34CF7">
        <w:rPr>
          <w:rFonts w:ascii="Arial" w:hAnsi="Arial" w:cs="Arial"/>
          <w:b/>
          <w:bCs/>
          <w:color w:val="000000" w:themeColor="text1"/>
          <w:sz w:val="22"/>
          <w:szCs w:val="22"/>
          <w:highlight w:val="yellow"/>
        </w:rPr>
        <w:t>,000</w:t>
      </w:r>
    </w:p>
    <w:p w14:paraId="3DB0B5F8" w14:textId="77777777" w:rsidR="00E21D2B" w:rsidRDefault="00E21D2B" w:rsidP="00AF6E9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702536" w14:paraId="0459D569" w14:textId="77777777" w:rsidTr="003377E2">
        <w:tc>
          <w:tcPr>
            <w:tcW w:w="3964" w:type="dxa"/>
            <w:shd w:val="clear" w:color="auto" w:fill="002060"/>
          </w:tcPr>
          <w:p w14:paraId="5A48BB03" w14:textId="77777777" w:rsidR="00702536" w:rsidRPr="002A1EF1" w:rsidRDefault="00702536"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333B4885" w14:textId="77777777" w:rsidR="00702536" w:rsidRPr="002A1EF1" w:rsidRDefault="00702536"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702536" w14:paraId="5D915C6F" w14:textId="77777777" w:rsidTr="003377E2">
        <w:tc>
          <w:tcPr>
            <w:tcW w:w="3964" w:type="dxa"/>
          </w:tcPr>
          <w:p w14:paraId="76E488DB" w14:textId="77777777" w:rsidR="00D34CF7" w:rsidRDefault="00D34CF7" w:rsidP="00D34CF7">
            <w:pPr>
              <w:pStyle w:val="ListParagraph"/>
              <w:numPr>
                <w:ilvl w:val="0"/>
                <w:numId w:val="43"/>
              </w:numPr>
              <w:rPr>
                <w:rFonts w:ascii="Arial" w:hAnsi="Arial" w:cs="Arial"/>
                <w:color w:val="000000" w:themeColor="text1"/>
                <w:sz w:val="22"/>
                <w:szCs w:val="22"/>
              </w:rPr>
            </w:pPr>
            <w:r w:rsidRPr="00C87AEC">
              <w:rPr>
                <w:rFonts w:ascii="Arial" w:hAnsi="Arial" w:cs="Arial"/>
                <w:color w:val="000000" w:themeColor="text1"/>
                <w:sz w:val="22"/>
                <w:szCs w:val="22"/>
              </w:rPr>
              <w:t>Strengthen the literacy curriculum by developing pupils’ letter formation and neat presentation, enhancing technical writing skills, and promoting accurate use of punctuation. Pupils will also be supported to evaluate, edit, and redraft their work, fostering greater independence, accuracy, and clarity in their writing.</w:t>
            </w:r>
          </w:p>
          <w:p w14:paraId="38631E1D" w14:textId="77777777" w:rsidR="00D34CF7" w:rsidRDefault="00D34CF7" w:rsidP="00D34CF7">
            <w:pPr>
              <w:pStyle w:val="ListParagraph"/>
              <w:numPr>
                <w:ilvl w:val="0"/>
                <w:numId w:val="43"/>
              </w:numPr>
              <w:rPr>
                <w:rFonts w:ascii="Arial" w:hAnsi="Arial" w:cs="Arial"/>
                <w:color w:val="000000" w:themeColor="text1"/>
                <w:sz w:val="22"/>
                <w:szCs w:val="22"/>
              </w:rPr>
            </w:pPr>
            <w:r w:rsidRPr="00C87AEC">
              <w:rPr>
                <w:rFonts w:ascii="Arial" w:hAnsi="Arial" w:cs="Arial"/>
                <w:color w:val="000000" w:themeColor="text1"/>
                <w:sz w:val="22"/>
                <w:szCs w:val="22"/>
              </w:rPr>
              <w:t>Further develop the curriculum by ensuring all teachers provide pupils with purposeful, cross-curricular opportunities to progress their literacy skills. This approach will embed literacy across all areas, reinforcing reading, writing, and communication skills in meaningful contexts.</w:t>
            </w:r>
          </w:p>
          <w:p w14:paraId="4D870F62" w14:textId="77777777" w:rsidR="00D34CF7" w:rsidRDefault="00D34CF7" w:rsidP="00D34CF7">
            <w:pPr>
              <w:pStyle w:val="ListParagraph"/>
              <w:numPr>
                <w:ilvl w:val="0"/>
                <w:numId w:val="43"/>
              </w:numPr>
              <w:rPr>
                <w:rFonts w:ascii="Arial" w:hAnsi="Arial" w:cs="Arial"/>
                <w:color w:val="000000" w:themeColor="text1"/>
                <w:sz w:val="22"/>
                <w:szCs w:val="22"/>
              </w:rPr>
            </w:pPr>
            <w:r w:rsidRPr="00C87AEC">
              <w:rPr>
                <w:rFonts w:ascii="Arial" w:hAnsi="Arial" w:cs="Arial"/>
                <w:color w:val="000000" w:themeColor="text1"/>
                <w:sz w:val="22"/>
                <w:szCs w:val="22"/>
              </w:rPr>
              <w:t>Provide training for teachers in assessing pupils’ progress in Monster Phonics. The Literacy Leader will oversee and quality assure the assessment process to ensure accuracy, consistency, and effective use of data to inform teaching and targeted interventions.</w:t>
            </w:r>
          </w:p>
          <w:p w14:paraId="5165FC11" w14:textId="77777777" w:rsidR="00D34CF7" w:rsidRDefault="00D34CF7" w:rsidP="00D34CF7">
            <w:pPr>
              <w:pStyle w:val="ListParagraph"/>
              <w:numPr>
                <w:ilvl w:val="0"/>
                <w:numId w:val="43"/>
              </w:numPr>
              <w:rPr>
                <w:rFonts w:ascii="Arial" w:hAnsi="Arial" w:cs="Arial"/>
                <w:color w:val="000000" w:themeColor="text1"/>
                <w:sz w:val="22"/>
                <w:szCs w:val="22"/>
              </w:rPr>
            </w:pPr>
            <w:r>
              <w:rPr>
                <w:rFonts w:ascii="Arial" w:hAnsi="Arial" w:cs="Arial"/>
                <w:color w:val="000000" w:themeColor="text1"/>
                <w:sz w:val="22"/>
                <w:szCs w:val="22"/>
              </w:rPr>
              <w:t>T</w:t>
            </w:r>
            <w:r w:rsidRPr="00C87AEC">
              <w:rPr>
                <w:rFonts w:ascii="Arial" w:hAnsi="Arial" w:cs="Arial"/>
                <w:color w:val="000000" w:themeColor="text1"/>
                <w:sz w:val="22"/>
                <w:szCs w:val="22"/>
              </w:rPr>
              <w:t xml:space="preserve">he Literacy Leader will continue to monitor and evaluate literacy provision across the school, maintaining </w:t>
            </w:r>
            <w:r w:rsidRPr="00C87AEC">
              <w:rPr>
                <w:rFonts w:ascii="Arial" w:hAnsi="Arial" w:cs="Arial"/>
                <w:color w:val="000000" w:themeColor="text1"/>
                <w:sz w:val="22"/>
                <w:szCs w:val="22"/>
              </w:rPr>
              <w:lastRenderedPageBreak/>
              <w:t>an overview of pupil progress. By analysing trends and patterns, the leader will identify areas for targeted staff support and design bespoke interventions to address gaps and enhance outcomes for all learners.</w:t>
            </w:r>
          </w:p>
          <w:p w14:paraId="5083ED5E" w14:textId="77777777" w:rsidR="00D34CF7" w:rsidRDefault="00D34CF7" w:rsidP="00D34CF7">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Finalise a bespoke Mathematics and Numeracy curriculum that provides all pupils with a Curriculum for Wales (</w:t>
            </w:r>
            <w:proofErr w:type="spellStart"/>
            <w:r w:rsidRPr="00AD2926">
              <w:rPr>
                <w:rFonts w:ascii="Arial" w:hAnsi="Arial" w:cs="Arial"/>
                <w:color w:val="000000" w:themeColor="text1"/>
                <w:sz w:val="22"/>
                <w:szCs w:val="22"/>
              </w:rPr>
              <w:t>CfW</w:t>
            </w:r>
            <w:proofErr w:type="spellEnd"/>
            <w:r w:rsidRPr="00AD2926">
              <w:rPr>
                <w:rFonts w:ascii="Arial" w:hAnsi="Arial" w:cs="Arial"/>
                <w:color w:val="000000" w:themeColor="text1"/>
                <w:sz w:val="22"/>
                <w:szCs w:val="22"/>
              </w:rPr>
              <w:t>) approach, progressing from core skills to problem-solving and investigation through authentic, real-life contexts after each learning period. The Numeracy and Mathematics Lead will provide ongoing support to staff to ensure effective implementation and consistency of practice across the school.</w:t>
            </w:r>
          </w:p>
          <w:p w14:paraId="70361D24" w14:textId="77777777" w:rsidR="00D34CF7" w:rsidRDefault="00D34CF7" w:rsidP="00D34CF7">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Further develop the curriculum by ensuring all teachers provide pupils with purposeful, cross-curricular opportunities to progress their mathematics and numeracy skills. This approach will embed numeracy across all subject areas, reinforcing calculation, problem-solving, and reasoning in meaningful, real-life contexts.</w:t>
            </w:r>
          </w:p>
          <w:p w14:paraId="6708E0CB" w14:textId="77777777" w:rsidR="00D34CF7" w:rsidRDefault="00D34CF7" w:rsidP="00D34CF7">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 xml:space="preserve">The LA, in collaboration with the Headteacher or SLT link, will work alongside the Numeracy Coordinator to conduct learning walks, work scrutiny, and pupil feedback activities with members of the Governing Body. This will evaluate the quality of mathematics and numeracy provision and its impact on pupil progress. </w:t>
            </w:r>
            <w:r>
              <w:rPr>
                <w:rFonts w:ascii="Arial" w:hAnsi="Arial" w:cs="Arial"/>
                <w:color w:val="000000" w:themeColor="text1"/>
                <w:sz w:val="22"/>
                <w:szCs w:val="22"/>
              </w:rPr>
              <w:t>An a</w:t>
            </w:r>
            <w:r w:rsidRPr="00AD2926">
              <w:rPr>
                <w:rFonts w:ascii="Arial" w:hAnsi="Arial" w:cs="Arial"/>
                <w:color w:val="000000" w:themeColor="text1"/>
                <w:sz w:val="22"/>
                <w:szCs w:val="22"/>
              </w:rPr>
              <w:t>ction plan will be revised to address identified areas for improvement.</w:t>
            </w:r>
          </w:p>
          <w:p w14:paraId="5AA4A92E" w14:textId="77777777" w:rsidR="00D34CF7" w:rsidRDefault="00D34CF7" w:rsidP="00D34CF7">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 xml:space="preserve">The Maths Leader will continue to monitor and evaluate mathematics and numeracy provision across the school, maintaining an overview of pupil progress. By analysing trends and patterns, </w:t>
            </w:r>
            <w:r w:rsidRPr="00AD2926">
              <w:rPr>
                <w:rFonts w:ascii="Arial" w:hAnsi="Arial" w:cs="Arial"/>
                <w:color w:val="000000" w:themeColor="text1"/>
                <w:sz w:val="22"/>
                <w:szCs w:val="22"/>
              </w:rPr>
              <w:lastRenderedPageBreak/>
              <w:t>the leader will identify areas for targeted staff support and design bespoke interventions to address gaps, improve teaching, and enhance outcomes for all learners.</w:t>
            </w:r>
          </w:p>
          <w:p w14:paraId="79FB36F4" w14:textId="77777777" w:rsidR="00D34CF7" w:rsidRDefault="00D34CF7" w:rsidP="00D34CF7">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Embed the Welsh curriculum into the Language, Literacy, and Communication curriculum to ensure a bilingual approach. Finalise a bespoke Welsh curriculum that allows all pupils to progress from foundational language skills to more complex communication and application in meaningful, real-life contexts. The Welsh Leader will provide ongoing support to staff to ensure effective implementation and consistency of practice across the school.</w:t>
            </w:r>
          </w:p>
          <w:p w14:paraId="35782866" w14:textId="77777777" w:rsidR="00D34CF7" w:rsidRDefault="00D34CF7" w:rsidP="00D34CF7">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The Welsh Leader will continue to monitor and evaluate Welsh language provision across the school, maintaining an overview of pupil progress. By analysing trends and patterns, the leader will identify areas for targeted staff support and design bespoke interventions to address gaps, strengthen teaching, and enhance outcomes for all learners.</w:t>
            </w:r>
          </w:p>
          <w:p w14:paraId="5DB2B156" w14:textId="77777777" w:rsidR="00D34CF7" w:rsidRDefault="00D34CF7" w:rsidP="00D34CF7">
            <w:pPr>
              <w:pStyle w:val="ListParagraph"/>
              <w:numPr>
                <w:ilvl w:val="0"/>
                <w:numId w:val="43"/>
              </w:numPr>
              <w:rPr>
                <w:rFonts w:ascii="Arial" w:hAnsi="Arial" w:cs="Arial"/>
                <w:color w:val="000000" w:themeColor="text1"/>
                <w:sz w:val="22"/>
                <w:szCs w:val="22"/>
              </w:rPr>
            </w:pPr>
            <w:r w:rsidRPr="00C92787">
              <w:rPr>
                <w:rFonts w:ascii="Arial" w:hAnsi="Arial" w:cs="Arial"/>
                <w:color w:val="000000" w:themeColor="text1"/>
                <w:sz w:val="22"/>
                <w:szCs w:val="22"/>
              </w:rPr>
              <w:t>The Digital Teacher Development Officer (TDO) will support the Digital Learning Coordinator and teachers to strengthen the digital competency curriculum. This will focus on the progressive development of pupils’ skills in communication, coding, modelling, data handling, and computational thinking, ensuring a coherent and consistent approach across the school.</w:t>
            </w:r>
          </w:p>
          <w:p w14:paraId="2B4A19BE" w14:textId="77777777" w:rsidR="00D34CF7" w:rsidRDefault="00D34CF7" w:rsidP="00D34CF7">
            <w:pPr>
              <w:pStyle w:val="ListParagraph"/>
              <w:numPr>
                <w:ilvl w:val="0"/>
                <w:numId w:val="43"/>
              </w:numPr>
              <w:rPr>
                <w:rFonts w:ascii="Arial" w:hAnsi="Arial" w:cs="Arial"/>
                <w:color w:val="000000" w:themeColor="text1"/>
                <w:sz w:val="22"/>
                <w:szCs w:val="22"/>
              </w:rPr>
            </w:pPr>
            <w:r w:rsidRPr="00C92787">
              <w:rPr>
                <w:rFonts w:ascii="Arial" w:hAnsi="Arial" w:cs="Arial"/>
                <w:color w:val="000000" w:themeColor="text1"/>
                <w:sz w:val="22"/>
                <w:szCs w:val="22"/>
              </w:rPr>
              <w:t xml:space="preserve">The Digital Teacher Development Officer (TDO) will provide targeted professional learning for teachers, focusing on areas identified for development through the review of pupils’ skills in communication, </w:t>
            </w:r>
            <w:r w:rsidRPr="00C92787">
              <w:rPr>
                <w:rFonts w:ascii="Arial" w:hAnsi="Arial" w:cs="Arial"/>
                <w:color w:val="000000" w:themeColor="text1"/>
                <w:sz w:val="22"/>
                <w:szCs w:val="22"/>
              </w:rPr>
              <w:lastRenderedPageBreak/>
              <w:t>coding, modelling, data handling, and computational thinking. This will support teachers in improving practice and enhancing pupils’ digital competency across the curriculum.</w:t>
            </w:r>
          </w:p>
          <w:p w14:paraId="671A53FE" w14:textId="51898DC8" w:rsidR="00702536" w:rsidRPr="00D34CF7" w:rsidRDefault="00D34CF7" w:rsidP="003377E2">
            <w:pPr>
              <w:pStyle w:val="ListParagraph"/>
              <w:numPr>
                <w:ilvl w:val="0"/>
                <w:numId w:val="43"/>
              </w:numPr>
              <w:rPr>
                <w:rFonts w:ascii="Arial" w:hAnsi="Arial" w:cs="Arial"/>
                <w:color w:val="000000" w:themeColor="text1"/>
                <w:sz w:val="22"/>
                <w:szCs w:val="22"/>
              </w:rPr>
            </w:pPr>
            <w:r w:rsidRPr="00AD2926">
              <w:rPr>
                <w:rFonts w:ascii="Arial" w:hAnsi="Arial" w:cs="Arial"/>
                <w:color w:val="000000" w:themeColor="text1"/>
                <w:sz w:val="22"/>
                <w:szCs w:val="22"/>
              </w:rPr>
              <w:t>The Digital Leader will continue to monitor and evaluate digital learning provision across the school, maintaining an overview of pupils’ progress in digital skills. By analysing trends and patterns, the leader will identify areas for targeted staff support and design bespoke interventions to address gaps, improve digital pedagogy, and enhance outcomes for all learners.</w:t>
            </w:r>
          </w:p>
        </w:tc>
        <w:tc>
          <w:tcPr>
            <w:tcW w:w="4486" w:type="dxa"/>
          </w:tcPr>
          <w:p w14:paraId="61BBC3C6" w14:textId="77777777" w:rsidR="002C2B71" w:rsidRDefault="002C2B71" w:rsidP="002C2B71">
            <w:pPr>
              <w:tabs>
                <w:tab w:val="left" w:pos="1402"/>
              </w:tabs>
              <w:rPr>
                <w:rFonts w:ascii="Arial" w:hAnsi="Arial"/>
                <w:sz w:val="22"/>
                <w:szCs w:val="22"/>
              </w:rPr>
            </w:pPr>
            <w:r>
              <w:rPr>
                <w:rFonts w:ascii="Arial" w:hAnsi="Arial"/>
                <w:sz w:val="22"/>
                <w:szCs w:val="22"/>
              </w:rPr>
              <w:lastRenderedPageBreak/>
              <w:t xml:space="preserve">Evidence from the Education Endowment Foundation highlights that the development of pupils’ phonics has ‘very high impact for very low cost based on extensive evidence’ (an additional 5 </w:t>
            </w:r>
            <w:proofErr w:type="gramStart"/>
            <w:r>
              <w:rPr>
                <w:rFonts w:ascii="Arial" w:hAnsi="Arial"/>
                <w:sz w:val="22"/>
                <w:szCs w:val="22"/>
              </w:rPr>
              <w:t>months</w:t>
            </w:r>
            <w:proofErr w:type="gramEnd"/>
            <w:r>
              <w:rPr>
                <w:rFonts w:ascii="Arial" w:hAnsi="Arial"/>
                <w:sz w:val="22"/>
                <w:szCs w:val="22"/>
              </w:rPr>
              <w:t xml:space="preserve"> progress over the academic year). </w:t>
            </w:r>
            <w:r w:rsidRPr="001F5184">
              <w:rPr>
                <w:rFonts w:ascii="Arial" w:hAnsi="Arial"/>
                <w:sz w:val="22"/>
                <w:szCs w:val="22"/>
              </w:rPr>
              <w:t>Significant evidence exists which highlights that the embedding of a systematic approach to the teaching of synthetic phonics has a considerable impact on pupils’ progress with reading and ability to access the wider curriculum.</w:t>
            </w:r>
          </w:p>
          <w:p w14:paraId="4CA4F28D" w14:textId="77777777" w:rsidR="009E58B7" w:rsidRDefault="009E58B7" w:rsidP="002C2B71">
            <w:pPr>
              <w:tabs>
                <w:tab w:val="left" w:pos="1402"/>
              </w:tabs>
              <w:rPr>
                <w:rFonts w:ascii="Arial" w:hAnsi="Arial"/>
                <w:sz w:val="22"/>
                <w:szCs w:val="22"/>
              </w:rPr>
            </w:pPr>
          </w:p>
          <w:p w14:paraId="3C1EE945" w14:textId="0CFE9B27" w:rsidR="009E58B7" w:rsidRPr="009E58B7" w:rsidRDefault="009E58B7" w:rsidP="009E58B7">
            <w:pPr>
              <w:tabs>
                <w:tab w:val="left" w:pos="1402"/>
              </w:tabs>
              <w:rPr>
                <w:rFonts w:ascii="Arial" w:hAnsi="Arial"/>
                <w:sz w:val="22"/>
                <w:szCs w:val="22"/>
              </w:rPr>
            </w:pPr>
            <w:r w:rsidRPr="009E58B7">
              <w:rPr>
                <w:rFonts w:ascii="Arial" w:hAnsi="Arial"/>
                <w:sz w:val="22"/>
                <w:szCs w:val="22"/>
              </w:rPr>
              <w:t xml:space="preserve">The </w:t>
            </w:r>
            <w:r w:rsidRPr="009E58B7">
              <w:rPr>
                <w:rFonts w:ascii="Arial" w:hAnsi="Arial"/>
                <w:i/>
                <w:iCs/>
                <w:sz w:val="22"/>
                <w:szCs w:val="22"/>
              </w:rPr>
              <w:t>Literacy Development</w:t>
            </w:r>
            <w:r w:rsidRPr="009E58B7">
              <w:rPr>
                <w:rFonts w:ascii="Arial" w:hAnsi="Arial"/>
                <w:sz w:val="22"/>
                <w:szCs w:val="22"/>
              </w:rPr>
              <w:t xml:space="preserve"> evidence review (commissioned by EEF) highlights that affective factors (like motivation and engagement) are just as important as cognitive skills (like phonics or comprehension). Although the review discusses many facets, it supports using rich texts (stories, narrative) because they help develop both </w:t>
            </w:r>
            <w:r w:rsidRPr="009E58B7">
              <w:rPr>
                <w:rFonts w:ascii="Arial" w:hAnsi="Arial"/>
                <w:i/>
                <w:iCs/>
                <w:sz w:val="22"/>
                <w:szCs w:val="22"/>
              </w:rPr>
              <w:t>comprehension</w:t>
            </w:r>
            <w:r w:rsidRPr="009E58B7">
              <w:rPr>
                <w:rFonts w:ascii="Arial" w:hAnsi="Arial"/>
                <w:sz w:val="22"/>
                <w:szCs w:val="22"/>
              </w:rPr>
              <w:t xml:space="preserve"> and </w:t>
            </w:r>
            <w:r w:rsidRPr="009E58B7">
              <w:rPr>
                <w:rFonts w:ascii="Arial" w:hAnsi="Arial"/>
                <w:i/>
                <w:iCs/>
                <w:sz w:val="22"/>
                <w:szCs w:val="22"/>
              </w:rPr>
              <w:t>writing</w:t>
            </w:r>
            <w:r w:rsidRPr="009E58B7">
              <w:rPr>
                <w:rFonts w:ascii="Arial" w:hAnsi="Arial"/>
                <w:sz w:val="22"/>
                <w:szCs w:val="22"/>
              </w:rPr>
              <w:t>. High-quality literature can help meet these affective and cognitive needs simultaneously</w:t>
            </w:r>
            <w:r>
              <w:rPr>
                <w:rFonts w:ascii="Arial" w:hAnsi="Arial"/>
                <w:sz w:val="22"/>
                <w:szCs w:val="22"/>
              </w:rPr>
              <w:t xml:space="preserve">, </w:t>
            </w:r>
            <w:r w:rsidRPr="009E58B7">
              <w:rPr>
                <w:rFonts w:ascii="Arial" w:hAnsi="Arial"/>
                <w:sz w:val="22"/>
                <w:szCs w:val="22"/>
              </w:rPr>
              <w:t>motivating pupils while building their language/comprehension skills.</w:t>
            </w:r>
          </w:p>
          <w:p w14:paraId="03F30302" w14:textId="77777777" w:rsidR="009E58B7" w:rsidRDefault="009E58B7" w:rsidP="002C2B71">
            <w:pPr>
              <w:tabs>
                <w:tab w:val="left" w:pos="1402"/>
              </w:tabs>
              <w:rPr>
                <w:rFonts w:ascii="Arial" w:hAnsi="Arial"/>
                <w:sz w:val="22"/>
                <w:szCs w:val="22"/>
              </w:rPr>
            </w:pPr>
          </w:p>
          <w:p w14:paraId="07B1DEAF" w14:textId="44098C6D" w:rsidR="009E58B7" w:rsidRPr="009E58B7" w:rsidRDefault="009E58B7" w:rsidP="009E58B7">
            <w:pPr>
              <w:tabs>
                <w:tab w:val="left" w:pos="1402"/>
              </w:tabs>
              <w:rPr>
                <w:rFonts w:ascii="Arial" w:hAnsi="Arial"/>
                <w:sz w:val="22"/>
                <w:szCs w:val="22"/>
              </w:rPr>
            </w:pPr>
            <w:r>
              <w:rPr>
                <w:rFonts w:ascii="Arial" w:hAnsi="Arial"/>
                <w:sz w:val="22"/>
                <w:szCs w:val="22"/>
              </w:rPr>
              <w:t>C</w:t>
            </w:r>
            <w:r w:rsidRPr="009E58B7">
              <w:rPr>
                <w:rFonts w:ascii="Arial" w:hAnsi="Arial"/>
                <w:sz w:val="22"/>
                <w:szCs w:val="22"/>
              </w:rPr>
              <w:t xml:space="preserve">oncrete experiences help pupils understand </w:t>
            </w:r>
            <w:r w:rsidRPr="009E58B7">
              <w:rPr>
                <w:rFonts w:ascii="Arial" w:hAnsi="Arial"/>
                <w:i/>
                <w:iCs/>
                <w:sz w:val="22"/>
                <w:szCs w:val="22"/>
              </w:rPr>
              <w:t>what numbers and operations represent</w:t>
            </w:r>
            <w:r w:rsidRPr="009E58B7">
              <w:rPr>
                <w:rFonts w:ascii="Arial" w:hAnsi="Arial"/>
                <w:sz w:val="22"/>
                <w:szCs w:val="22"/>
              </w:rPr>
              <w:t xml:space="preserve"> rather than just memorising rules.</w:t>
            </w:r>
          </w:p>
          <w:p w14:paraId="4DB8936D" w14:textId="77777777" w:rsidR="009E58B7" w:rsidRPr="009E58B7" w:rsidRDefault="009E58B7" w:rsidP="009E58B7">
            <w:pPr>
              <w:tabs>
                <w:tab w:val="left" w:pos="1402"/>
              </w:tabs>
              <w:rPr>
                <w:rFonts w:ascii="Arial" w:hAnsi="Arial"/>
                <w:sz w:val="22"/>
                <w:szCs w:val="22"/>
              </w:rPr>
            </w:pPr>
            <w:r w:rsidRPr="009E58B7">
              <w:rPr>
                <w:rFonts w:ascii="Arial" w:hAnsi="Arial"/>
                <w:sz w:val="22"/>
                <w:szCs w:val="22"/>
              </w:rPr>
              <w:t xml:space="preserve">According to the EEF guidance </w:t>
            </w:r>
            <w:r w:rsidRPr="009E58B7">
              <w:rPr>
                <w:rFonts w:ascii="Arial" w:hAnsi="Arial"/>
                <w:i/>
                <w:iCs/>
                <w:sz w:val="22"/>
                <w:szCs w:val="22"/>
              </w:rPr>
              <w:t>Improving Mathematics in the Early Years and KS1/2</w:t>
            </w:r>
            <w:r w:rsidRPr="009E58B7">
              <w:rPr>
                <w:rFonts w:ascii="Arial" w:hAnsi="Arial"/>
                <w:sz w:val="22"/>
                <w:szCs w:val="22"/>
              </w:rPr>
              <w:t>:</w:t>
            </w:r>
          </w:p>
          <w:p w14:paraId="6DDED3DE" w14:textId="1653A430" w:rsidR="009E58B7" w:rsidRDefault="009E58B7" w:rsidP="009E58B7">
            <w:pPr>
              <w:tabs>
                <w:tab w:val="left" w:pos="1402"/>
              </w:tabs>
              <w:rPr>
                <w:rFonts w:ascii="Arial" w:hAnsi="Arial"/>
                <w:sz w:val="22"/>
                <w:szCs w:val="22"/>
              </w:rPr>
            </w:pPr>
            <w:r w:rsidRPr="009E58B7">
              <w:rPr>
                <w:rFonts w:ascii="Arial" w:hAnsi="Arial"/>
                <w:sz w:val="22"/>
                <w:szCs w:val="22"/>
              </w:rPr>
              <w:t xml:space="preserve">“Pupils need to develop a deep conceptual understanding of mathematical ideas before moving on to abstract calculations. </w:t>
            </w:r>
            <w:r w:rsidRPr="009E58B7">
              <w:rPr>
                <w:rFonts w:ascii="Arial" w:hAnsi="Arial"/>
                <w:sz w:val="22"/>
                <w:szCs w:val="22"/>
              </w:rPr>
              <w:lastRenderedPageBreak/>
              <w:t>The CPA approach supports this development by enabling pupils to see and explore relationships.” (EEF, 2020)</w:t>
            </w:r>
            <w:r>
              <w:rPr>
                <w:rFonts w:ascii="Arial" w:hAnsi="Arial"/>
                <w:sz w:val="22"/>
                <w:szCs w:val="22"/>
              </w:rPr>
              <w:t xml:space="preserve">. </w:t>
            </w:r>
            <w:r w:rsidRPr="009E58B7">
              <w:rPr>
                <w:rFonts w:ascii="Arial" w:hAnsi="Arial"/>
                <w:sz w:val="22"/>
                <w:szCs w:val="22"/>
              </w:rPr>
              <w:t>Using manipulatives and visual representations helps learners process complex ideas step by step, scaffolding understanding.</w:t>
            </w:r>
          </w:p>
          <w:p w14:paraId="08F31B54" w14:textId="77777777" w:rsidR="009E58B7" w:rsidRDefault="009E58B7" w:rsidP="009E58B7">
            <w:pPr>
              <w:tabs>
                <w:tab w:val="left" w:pos="1402"/>
              </w:tabs>
              <w:rPr>
                <w:rFonts w:ascii="Arial" w:hAnsi="Arial"/>
                <w:sz w:val="22"/>
                <w:szCs w:val="22"/>
              </w:rPr>
            </w:pPr>
          </w:p>
          <w:p w14:paraId="5E0CD728" w14:textId="42DC0D8C" w:rsidR="009E58B7" w:rsidRDefault="009E58B7" w:rsidP="009E58B7">
            <w:pPr>
              <w:tabs>
                <w:tab w:val="left" w:pos="1402"/>
              </w:tabs>
              <w:rPr>
                <w:rFonts w:ascii="Arial" w:hAnsi="Arial"/>
                <w:sz w:val="22"/>
                <w:szCs w:val="22"/>
              </w:rPr>
            </w:pPr>
            <w:r>
              <w:rPr>
                <w:rFonts w:ascii="Arial" w:hAnsi="Arial"/>
                <w:sz w:val="22"/>
                <w:szCs w:val="22"/>
              </w:rPr>
              <w:t>The EEF research states:</w:t>
            </w:r>
          </w:p>
          <w:p w14:paraId="52005C07" w14:textId="64A0C9F2" w:rsidR="009E58B7" w:rsidRPr="009E58B7" w:rsidRDefault="009E58B7" w:rsidP="009E58B7">
            <w:pPr>
              <w:tabs>
                <w:tab w:val="left" w:pos="1402"/>
              </w:tabs>
              <w:rPr>
                <w:rFonts w:ascii="Arial" w:hAnsi="Arial"/>
                <w:sz w:val="22"/>
                <w:szCs w:val="22"/>
              </w:rPr>
            </w:pPr>
            <w:r w:rsidRPr="009E58B7">
              <w:rPr>
                <w:rFonts w:ascii="Arial" w:hAnsi="Arial"/>
                <w:sz w:val="22"/>
                <w:szCs w:val="22"/>
              </w:rPr>
              <w:t>“Teachers should select genuine problem</w:t>
            </w:r>
            <w:r w:rsidRPr="009E58B7">
              <w:rPr>
                <w:rFonts w:ascii="Arial" w:hAnsi="Arial"/>
                <w:sz w:val="22"/>
                <w:szCs w:val="22"/>
              </w:rPr>
              <w:noBreakHyphen/>
              <w:t>solving tasks that pupils do not have well</w:t>
            </w:r>
            <w:r w:rsidRPr="009E58B7">
              <w:rPr>
                <w:rFonts w:ascii="Arial" w:hAnsi="Arial"/>
                <w:sz w:val="22"/>
                <w:szCs w:val="22"/>
              </w:rPr>
              <w:noBreakHyphen/>
              <w:t>rehearsed, ready</w:t>
            </w:r>
            <w:r w:rsidRPr="009E58B7">
              <w:rPr>
                <w:rFonts w:ascii="Arial" w:hAnsi="Arial"/>
                <w:sz w:val="22"/>
                <w:szCs w:val="22"/>
              </w:rPr>
              <w:noBreakHyphen/>
              <w:t>made methods to solve.”</w:t>
            </w:r>
            <w:r>
              <w:rPr>
                <w:rFonts w:ascii="Arial" w:hAnsi="Arial"/>
                <w:sz w:val="22"/>
                <w:szCs w:val="22"/>
              </w:rPr>
              <w:t xml:space="preserve">, </w:t>
            </w:r>
            <w:r w:rsidRPr="009E58B7">
              <w:rPr>
                <w:rFonts w:ascii="Arial" w:hAnsi="Arial"/>
                <w:sz w:val="22"/>
                <w:szCs w:val="22"/>
              </w:rPr>
              <w:t>“Pupils should be taught to use and compare different approaches.”</w:t>
            </w:r>
            <w:r>
              <w:rPr>
                <w:rFonts w:ascii="Arial" w:hAnsi="Arial"/>
                <w:sz w:val="22"/>
                <w:szCs w:val="22"/>
              </w:rPr>
              <w:t xml:space="preserve">, </w:t>
            </w:r>
            <w:r w:rsidRPr="009E58B7">
              <w:rPr>
                <w:rFonts w:ascii="Arial" w:hAnsi="Arial"/>
                <w:sz w:val="22"/>
                <w:szCs w:val="22"/>
              </w:rPr>
              <w:t>“Pupils should be encouraged to use visual representations.”</w:t>
            </w:r>
          </w:p>
          <w:p w14:paraId="5B3C47B2" w14:textId="3BBE51AC" w:rsidR="009E58B7" w:rsidRPr="009E58B7" w:rsidRDefault="009E58B7" w:rsidP="009E58B7">
            <w:pPr>
              <w:tabs>
                <w:tab w:val="left" w:pos="1402"/>
              </w:tabs>
              <w:rPr>
                <w:rFonts w:ascii="Arial" w:hAnsi="Arial"/>
                <w:sz w:val="22"/>
                <w:szCs w:val="22"/>
              </w:rPr>
            </w:pPr>
            <w:r w:rsidRPr="009E58B7">
              <w:rPr>
                <w:rFonts w:ascii="Arial" w:hAnsi="Arial"/>
                <w:sz w:val="22"/>
                <w:szCs w:val="22"/>
              </w:rPr>
              <w:t>“Teachers should use worked examples to enable pupils to analyse the use of different strategies.”</w:t>
            </w:r>
            <w:r>
              <w:rPr>
                <w:rFonts w:ascii="Arial" w:hAnsi="Arial"/>
                <w:sz w:val="22"/>
                <w:szCs w:val="22"/>
              </w:rPr>
              <w:t xml:space="preserve">, </w:t>
            </w:r>
            <w:r w:rsidRPr="009E58B7">
              <w:rPr>
                <w:rFonts w:ascii="Arial" w:hAnsi="Arial"/>
                <w:sz w:val="22"/>
                <w:szCs w:val="22"/>
              </w:rPr>
              <w:t>“Pupils should be required to monitor, reflect on, and communicate their reasoning and choice of strategy.” From the EEF maths</w:t>
            </w:r>
            <w:r w:rsidRPr="009E58B7">
              <w:rPr>
                <w:rFonts w:ascii="Arial" w:hAnsi="Arial"/>
                <w:sz w:val="22"/>
                <w:szCs w:val="22"/>
              </w:rPr>
              <w:noBreakHyphen/>
              <w:t xml:space="preserve">teaching guidance: </w:t>
            </w:r>
            <w:r w:rsidRPr="009E58B7">
              <w:rPr>
                <w:rFonts w:ascii="Arial" w:hAnsi="Arial"/>
                <w:i/>
                <w:iCs/>
                <w:sz w:val="22"/>
                <w:szCs w:val="22"/>
              </w:rPr>
              <w:t>“Use manipulatives and representations.”</w:t>
            </w:r>
            <w:r w:rsidRPr="009E58B7">
              <w:rPr>
                <w:rFonts w:ascii="Arial" w:hAnsi="Arial"/>
                <w:sz w:val="22"/>
                <w:szCs w:val="22"/>
              </w:rPr>
              <w:t xml:space="preserve"> On the importance of metacognition in problem solving: “pupils need to think flexibly and apply prior learning to the context to select suitable strategies for themselves.”</w:t>
            </w:r>
          </w:p>
          <w:p w14:paraId="2F95A809" w14:textId="77777777" w:rsidR="009E58B7" w:rsidRPr="009E58B7" w:rsidRDefault="009E58B7" w:rsidP="009E58B7">
            <w:pPr>
              <w:tabs>
                <w:tab w:val="left" w:pos="1402"/>
              </w:tabs>
              <w:rPr>
                <w:rFonts w:ascii="Arial" w:hAnsi="Arial"/>
                <w:sz w:val="22"/>
                <w:szCs w:val="22"/>
              </w:rPr>
            </w:pPr>
          </w:p>
          <w:p w14:paraId="141C7196" w14:textId="77777777" w:rsidR="00D34CF7" w:rsidRDefault="00D34CF7" w:rsidP="002C2B71">
            <w:pPr>
              <w:tabs>
                <w:tab w:val="left" w:pos="1402"/>
              </w:tabs>
              <w:rPr>
                <w:rFonts w:ascii="Arial" w:hAnsi="Arial"/>
                <w:sz w:val="22"/>
                <w:szCs w:val="22"/>
              </w:rPr>
            </w:pPr>
          </w:p>
          <w:p w14:paraId="3C427D38" w14:textId="77777777" w:rsidR="00D34CF7" w:rsidRDefault="00D34CF7" w:rsidP="00D34CF7">
            <w:pPr>
              <w:rPr>
                <w:rFonts w:ascii="Arial" w:hAnsi="Arial" w:cs="Arial"/>
                <w:color w:val="000000" w:themeColor="text1"/>
                <w:sz w:val="22"/>
                <w:szCs w:val="22"/>
              </w:rPr>
            </w:pPr>
            <w:r w:rsidRPr="00D34CF7">
              <w:rPr>
                <w:rFonts w:ascii="Arial" w:hAnsi="Arial" w:cs="Arial"/>
                <w:color w:val="000000" w:themeColor="text1"/>
                <w:sz w:val="22"/>
                <w:szCs w:val="22"/>
              </w:rPr>
              <w:t xml:space="preserve">According to the EEF’s </w:t>
            </w:r>
            <w:r w:rsidRPr="00D34CF7">
              <w:rPr>
                <w:rFonts w:ascii="Arial" w:hAnsi="Arial" w:cs="Arial"/>
                <w:i/>
                <w:iCs/>
                <w:color w:val="000000" w:themeColor="text1"/>
                <w:sz w:val="22"/>
                <w:szCs w:val="22"/>
              </w:rPr>
              <w:t>Using Digital Technology to Improve Learning</w:t>
            </w:r>
            <w:r w:rsidRPr="00D34CF7">
              <w:rPr>
                <w:rFonts w:ascii="Arial" w:hAnsi="Arial" w:cs="Arial"/>
                <w:color w:val="000000" w:themeColor="text1"/>
                <w:sz w:val="22"/>
                <w:szCs w:val="22"/>
              </w:rPr>
              <w:t xml:space="preserve"> guidance report:</w:t>
            </w:r>
            <w:r>
              <w:rPr>
                <w:rFonts w:ascii="Arial" w:hAnsi="Arial" w:cs="Arial"/>
                <w:color w:val="000000" w:themeColor="text1"/>
                <w:sz w:val="22"/>
                <w:szCs w:val="22"/>
              </w:rPr>
              <w:t xml:space="preserve"> </w:t>
            </w:r>
            <w:r w:rsidRPr="00D34CF7">
              <w:rPr>
                <w:rFonts w:ascii="Arial" w:hAnsi="Arial" w:cs="Arial"/>
                <w:color w:val="000000" w:themeColor="text1"/>
                <w:sz w:val="22"/>
                <w:szCs w:val="22"/>
              </w:rPr>
              <w:t>“An overarching recommendation … is that technology itself is unlikely to improve young people’s learning … if … used purposefully … they stand a much better chance of doing so.”</w:t>
            </w:r>
            <w:r>
              <w:rPr>
                <w:rFonts w:ascii="Arial" w:hAnsi="Arial" w:cs="Arial"/>
                <w:color w:val="000000" w:themeColor="text1"/>
                <w:sz w:val="22"/>
                <w:szCs w:val="22"/>
              </w:rPr>
              <w:t xml:space="preserve"> </w:t>
            </w:r>
            <w:r w:rsidRPr="00D34CF7">
              <w:rPr>
                <w:rFonts w:ascii="Arial" w:hAnsi="Arial" w:cs="Arial"/>
                <w:color w:val="000000" w:themeColor="text1"/>
                <w:sz w:val="22"/>
                <w:szCs w:val="22"/>
              </w:rPr>
              <w:t>In other words: simply having devices isn’t enough. What matters is how technology is integrated — for example, to support practice, feedback, or modelling.</w:t>
            </w:r>
          </w:p>
          <w:p w14:paraId="48DC0898" w14:textId="77777777" w:rsidR="00D34CF7" w:rsidRDefault="00D34CF7" w:rsidP="002C2B71">
            <w:pPr>
              <w:tabs>
                <w:tab w:val="left" w:pos="1402"/>
              </w:tabs>
              <w:rPr>
                <w:rFonts w:ascii="Arial" w:hAnsi="Arial"/>
                <w:sz w:val="22"/>
                <w:szCs w:val="22"/>
              </w:rPr>
            </w:pPr>
          </w:p>
          <w:p w14:paraId="4F7C7D3E" w14:textId="77777777" w:rsidR="00D34CF7" w:rsidRDefault="00D34CF7" w:rsidP="002C2B71">
            <w:pPr>
              <w:tabs>
                <w:tab w:val="left" w:pos="1402"/>
              </w:tabs>
              <w:rPr>
                <w:rFonts w:ascii="Arial" w:hAnsi="Arial"/>
                <w:sz w:val="22"/>
                <w:szCs w:val="22"/>
              </w:rPr>
            </w:pPr>
          </w:p>
          <w:p w14:paraId="090B43F4" w14:textId="06604008" w:rsidR="00D34CF7" w:rsidRPr="00D34CF7" w:rsidRDefault="00D34CF7" w:rsidP="00D34CF7">
            <w:pPr>
              <w:rPr>
                <w:rFonts w:ascii="Arial" w:hAnsi="Arial" w:cs="Arial"/>
                <w:b/>
                <w:bCs/>
                <w:color w:val="000000" w:themeColor="text1"/>
                <w:sz w:val="22"/>
                <w:szCs w:val="22"/>
              </w:rPr>
            </w:pPr>
            <w:r w:rsidRPr="00D34CF7">
              <w:rPr>
                <w:rFonts w:ascii="Arial" w:hAnsi="Arial" w:cs="Arial"/>
                <w:b/>
                <w:bCs/>
                <w:color w:val="000000" w:themeColor="text1"/>
                <w:sz w:val="22"/>
                <w:szCs w:val="22"/>
              </w:rPr>
              <w:t xml:space="preserve">Why </w:t>
            </w:r>
            <w:r>
              <w:rPr>
                <w:rFonts w:ascii="Arial" w:hAnsi="Arial" w:cs="Arial"/>
                <w:b/>
                <w:bCs/>
                <w:color w:val="000000" w:themeColor="text1"/>
                <w:sz w:val="22"/>
                <w:szCs w:val="22"/>
              </w:rPr>
              <w:t>t</w:t>
            </w:r>
            <w:r w:rsidRPr="00D34CF7">
              <w:rPr>
                <w:rFonts w:ascii="Arial" w:hAnsi="Arial" w:cs="Arial"/>
                <w:b/>
                <w:bCs/>
                <w:color w:val="000000" w:themeColor="text1"/>
                <w:sz w:val="22"/>
                <w:szCs w:val="22"/>
              </w:rPr>
              <w:t xml:space="preserve">his </w:t>
            </w:r>
            <w:r>
              <w:rPr>
                <w:rFonts w:ascii="Arial" w:hAnsi="Arial" w:cs="Arial"/>
                <w:b/>
                <w:bCs/>
                <w:color w:val="000000" w:themeColor="text1"/>
                <w:sz w:val="22"/>
                <w:szCs w:val="22"/>
              </w:rPr>
              <w:t>r</w:t>
            </w:r>
            <w:r w:rsidRPr="00D34CF7">
              <w:rPr>
                <w:rFonts w:ascii="Arial" w:hAnsi="Arial" w:cs="Arial"/>
                <w:b/>
                <w:bCs/>
                <w:color w:val="000000" w:themeColor="text1"/>
                <w:sz w:val="22"/>
                <w:szCs w:val="22"/>
              </w:rPr>
              <w:t xml:space="preserve">esearch </w:t>
            </w:r>
            <w:r>
              <w:rPr>
                <w:rFonts w:ascii="Arial" w:hAnsi="Arial" w:cs="Arial"/>
                <w:b/>
                <w:bCs/>
                <w:color w:val="000000" w:themeColor="text1"/>
                <w:sz w:val="22"/>
                <w:szCs w:val="22"/>
              </w:rPr>
              <w:t>m</w:t>
            </w:r>
            <w:r w:rsidRPr="00D34CF7">
              <w:rPr>
                <w:rFonts w:ascii="Arial" w:hAnsi="Arial" w:cs="Arial"/>
                <w:b/>
                <w:bCs/>
                <w:color w:val="000000" w:themeColor="text1"/>
                <w:sz w:val="22"/>
                <w:szCs w:val="22"/>
              </w:rPr>
              <w:t xml:space="preserve">atters </w:t>
            </w:r>
            <w:r>
              <w:rPr>
                <w:rFonts w:ascii="Arial" w:hAnsi="Arial" w:cs="Arial"/>
                <w:b/>
                <w:bCs/>
                <w:color w:val="000000" w:themeColor="text1"/>
                <w:sz w:val="22"/>
                <w:szCs w:val="22"/>
              </w:rPr>
              <w:t>to our p</w:t>
            </w:r>
            <w:r w:rsidRPr="00D34CF7">
              <w:rPr>
                <w:rFonts w:ascii="Arial" w:hAnsi="Arial" w:cs="Arial"/>
                <w:b/>
                <w:bCs/>
                <w:color w:val="000000" w:themeColor="text1"/>
                <w:sz w:val="22"/>
                <w:szCs w:val="22"/>
              </w:rPr>
              <w:t>lan</w:t>
            </w:r>
            <w:r>
              <w:rPr>
                <w:rFonts w:ascii="Arial" w:hAnsi="Arial" w:cs="Arial"/>
                <w:b/>
                <w:bCs/>
                <w:color w:val="000000" w:themeColor="text1"/>
                <w:sz w:val="22"/>
                <w:szCs w:val="22"/>
              </w:rPr>
              <w:t>:</w:t>
            </w:r>
          </w:p>
          <w:p w14:paraId="26BE8F1E" w14:textId="33BC98B2"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Systematic phonics instruction ensures pupils develop strong decoding skills, which are essential for reading fluency and comprehension.</w:t>
            </w:r>
          </w:p>
          <w:p w14:paraId="77853C13" w14:textId="1FE3D3E0"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Pupils who master phonics early are better able to access the wider curriculum, because reading is a fundamental skill across subjects.</w:t>
            </w:r>
          </w:p>
          <w:p w14:paraId="4D5E9E5C" w14:textId="3E2D719A"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Investing in phonics training and resources represents a high-impact, cost-effective intervention, directly addressing literacy gaps for disadvantaged pupils.</w:t>
            </w:r>
          </w:p>
          <w:p w14:paraId="7D757663" w14:textId="2E07EE82"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 xml:space="preserve">Embedding high-quality literature into the curriculum can increase </w:t>
            </w:r>
            <w:r w:rsidRPr="009E58B7">
              <w:rPr>
                <w:rFonts w:ascii="Arial" w:hAnsi="Arial" w:cs="Arial"/>
                <w:color w:val="000000" w:themeColor="text1"/>
                <w:sz w:val="22"/>
                <w:szCs w:val="22"/>
              </w:rPr>
              <w:lastRenderedPageBreak/>
              <w:t>pupil engagement and enjoyment, which research shows correlates with improved reading and writing outcomes.</w:t>
            </w:r>
          </w:p>
          <w:p w14:paraId="1E4B9E37" w14:textId="00562F81"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Literature-rich teaching meets pupils’ cognitive needs (vocabulary, comprehension, narrative structure) and affective needs (motivation, interest), ensuring interventions support sustained literacy development.</w:t>
            </w:r>
          </w:p>
          <w:p w14:paraId="56016D56" w14:textId="2A6F7C2C"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Disadvantaged pupils often benefit most from this dual approach, reducing gaps in reading confidence and achievement.</w:t>
            </w:r>
          </w:p>
          <w:p w14:paraId="5F953456" w14:textId="7227AF90"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 xml:space="preserve">Concrete experiences (manipulatives) and visual representations scaffold pupils’ understanding of maths concepts, reducing cognitive overload and ensuring they grasp </w:t>
            </w:r>
            <w:r w:rsidRPr="009E58B7">
              <w:rPr>
                <w:rFonts w:ascii="Arial" w:hAnsi="Arial" w:cs="Arial"/>
                <w:i/>
                <w:iCs/>
                <w:color w:val="000000" w:themeColor="text1"/>
                <w:sz w:val="22"/>
                <w:szCs w:val="22"/>
              </w:rPr>
              <w:t>why</w:t>
            </w:r>
            <w:r w:rsidRPr="009E58B7">
              <w:rPr>
                <w:rFonts w:ascii="Arial" w:hAnsi="Arial" w:cs="Arial"/>
                <w:color w:val="000000" w:themeColor="text1"/>
                <w:sz w:val="22"/>
                <w:szCs w:val="22"/>
              </w:rPr>
              <w:t xml:space="preserve"> procedures work.</w:t>
            </w:r>
          </w:p>
          <w:p w14:paraId="7A05A69F" w14:textId="612799F1"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Disadvantaged pupils often lack exposure to hands-on maths experiences at home; CPA ensures equitable access to deep conceptual understanding.</w:t>
            </w:r>
          </w:p>
          <w:p w14:paraId="45D62ABB" w14:textId="7B28933F"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This approach builds a strong foundation, which is critical for tackling more complex problem-solving and real-life maths later in the curriculum.</w:t>
            </w:r>
          </w:p>
          <w:p w14:paraId="263E558B" w14:textId="1354C576"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Encouraging pupils to reason, reflect, and choose strategies develops metacognitive skills and deeper mathematical understanding.</w:t>
            </w:r>
          </w:p>
          <w:p w14:paraId="40646B85" w14:textId="1E1F3C7B"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Teaching multiple strategies and using visual supports helps disadvantaged learners access problem-solving in ways that promote confidence and independence.</w:t>
            </w:r>
          </w:p>
          <w:p w14:paraId="3DE9C126" w14:textId="0D06207F" w:rsidR="009E58B7" w:rsidRPr="009E58B7" w:rsidRDefault="009E58B7" w:rsidP="009E58B7">
            <w:pPr>
              <w:numPr>
                <w:ilvl w:val="0"/>
                <w:numId w:val="45"/>
              </w:numPr>
              <w:rPr>
                <w:rFonts w:ascii="Arial" w:hAnsi="Arial" w:cs="Arial"/>
                <w:color w:val="000000" w:themeColor="text1"/>
                <w:sz w:val="22"/>
                <w:szCs w:val="22"/>
              </w:rPr>
            </w:pPr>
            <w:r w:rsidRPr="009E58B7">
              <w:rPr>
                <w:rFonts w:ascii="Arial" w:hAnsi="Arial" w:cs="Arial"/>
                <w:color w:val="000000" w:themeColor="text1"/>
                <w:sz w:val="22"/>
                <w:szCs w:val="22"/>
              </w:rPr>
              <w:t>Applying maths to authentic, contextualised problems prepares pupils to transfer skills to real-life situations, improving both attainment and resilience.</w:t>
            </w:r>
          </w:p>
          <w:p w14:paraId="78134C56" w14:textId="24D5ECCA" w:rsidR="00D34CF7" w:rsidRDefault="00D34CF7" w:rsidP="00D34CF7">
            <w:pPr>
              <w:numPr>
                <w:ilvl w:val="0"/>
                <w:numId w:val="45"/>
              </w:numPr>
              <w:rPr>
                <w:rFonts w:ascii="Arial" w:hAnsi="Arial" w:cs="Arial"/>
                <w:color w:val="000000" w:themeColor="text1"/>
                <w:sz w:val="22"/>
                <w:szCs w:val="22"/>
              </w:rPr>
            </w:pPr>
            <w:r w:rsidRPr="00D34CF7">
              <w:rPr>
                <w:rFonts w:ascii="Arial" w:hAnsi="Arial" w:cs="Arial"/>
                <w:color w:val="000000" w:themeColor="text1"/>
                <w:sz w:val="22"/>
                <w:szCs w:val="22"/>
              </w:rPr>
              <w:t>Embedding digital competency across the curriculum is not just about providing devices, but about how technology is used to support deeper learning, feedback, and reasoning.</w:t>
            </w:r>
          </w:p>
          <w:p w14:paraId="528FF769" w14:textId="77777777" w:rsidR="00D34CF7" w:rsidRDefault="00D34CF7" w:rsidP="002C2B71">
            <w:pPr>
              <w:tabs>
                <w:tab w:val="left" w:pos="1402"/>
              </w:tabs>
              <w:rPr>
                <w:rFonts w:ascii="Arial" w:hAnsi="Arial"/>
                <w:sz w:val="22"/>
                <w:szCs w:val="22"/>
              </w:rPr>
            </w:pPr>
          </w:p>
          <w:p w14:paraId="7815209F" w14:textId="77777777" w:rsidR="00702536" w:rsidRDefault="00702536" w:rsidP="00D34CF7">
            <w:pPr>
              <w:tabs>
                <w:tab w:val="left" w:pos="1402"/>
              </w:tabs>
              <w:rPr>
                <w:rFonts w:ascii="Arial" w:hAnsi="Arial" w:cs="Arial"/>
                <w:b/>
                <w:bCs/>
                <w:color w:val="000000" w:themeColor="text1"/>
                <w:sz w:val="22"/>
                <w:szCs w:val="22"/>
              </w:rPr>
            </w:pPr>
          </w:p>
        </w:tc>
      </w:tr>
    </w:tbl>
    <w:p w14:paraId="583ECD6A" w14:textId="77777777" w:rsidR="007A373A" w:rsidRPr="00AF6E94" w:rsidRDefault="007A373A" w:rsidP="00AF6E94">
      <w:pPr>
        <w:rPr>
          <w:rFonts w:ascii="Arial" w:hAnsi="Arial" w:cs="Arial"/>
          <w:b/>
          <w:bCs/>
          <w:color w:val="000000" w:themeColor="text1"/>
          <w:sz w:val="22"/>
          <w:szCs w:val="22"/>
        </w:rPr>
      </w:pPr>
    </w:p>
    <w:p w14:paraId="2FD631F0" w14:textId="77777777" w:rsidR="00D21155" w:rsidRDefault="00D21155" w:rsidP="00B35A0B">
      <w:pPr>
        <w:ind w:firstLine="720"/>
        <w:rPr>
          <w:rFonts w:ascii="Arial" w:hAnsi="Arial" w:cs="Arial"/>
          <w:b/>
          <w:color w:val="000000" w:themeColor="text1"/>
          <w:sz w:val="22"/>
          <w:szCs w:val="22"/>
        </w:rPr>
      </w:pPr>
      <w:r w:rsidRPr="00A624EB">
        <w:rPr>
          <w:rFonts w:ascii="Arial" w:hAnsi="Arial" w:cs="Arial"/>
          <w:b/>
          <w:color w:val="000000" w:themeColor="text1"/>
          <w:sz w:val="22"/>
          <w:szCs w:val="22"/>
        </w:rPr>
        <w:t>Targeted Interventions</w:t>
      </w:r>
    </w:p>
    <w:p w14:paraId="3A0E4121" w14:textId="1AE07E84" w:rsidR="00B35A0B" w:rsidRDefault="00B35A0B" w:rsidP="00B35A0B">
      <w:pPr>
        <w:pStyle w:val="ListParagraph"/>
        <w:rPr>
          <w:rFonts w:ascii="Arial" w:hAnsi="Arial" w:cs="Arial"/>
          <w:b/>
          <w:bCs/>
          <w:color w:val="000000" w:themeColor="text1"/>
          <w:sz w:val="22"/>
          <w:szCs w:val="22"/>
        </w:rPr>
      </w:pPr>
      <w:r>
        <w:rPr>
          <w:rFonts w:ascii="Arial" w:hAnsi="Arial" w:cs="Arial"/>
          <w:b/>
          <w:bCs/>
          <w:color w:val="000000" w:themeColor="text1"/>
          <w:sz w:val="22"/>
          <w:szCs w:val="22"/>
        </w:rPr>
        <w:t>Budget Cost: £</w:t>
      </w:r>
      <w:r w:rsidR="00E760A4">
        <w:rPr>
          <w:rFonts w:ascii="Arial" w:hAnsi="Arial" w:cs="Arial"/>
          <w:b/>
          <w:bCs/>
          <w:color w:val="000000" w:themeColor="text1"/>
          <w:sz w:val="22"/>
          <w:szCs w:val="22"/>
        </w:rPr>
        <w:t>10</w:t>
      </w:r>
      <w:r>
        <w:rPr>
          <w:rFonts w:ascii="Arial" w:hAnsi="Arial" w:cs="Arial"/>
          <w:b/>
          <w:bCs/>
          <w:color w:val="000000" w:themeColor="text1"/>
          <w:sz w:val="22"/>
          <w:szCs w:val="22"/>
        </w:rPr>
        <w:t>,000</w:t>
      </w:r>
    </w:p>
    <w:p w14:paraId="158870D5" w14:textId="77777777" w:rsidR="00F73D26" w:rsidRPr="00E760A4" w:rsidRDefault="00F73D26" w:rsidP="00E760A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F73D26" w14:paraId="366968F5" w14:textId="77777777" w:rsidTr="003377E2">
        <w:tc>
          <w:tcPr>
            <w:tcW w:w="3964" w:type="dxa"/>
            <w:shd w:val="clear" w:color="auto" w:fill="002060"/>
          </w:tcPr>
          <w:p w14:paraId="0DB6F722" w14:textId="77777777" w:rsidR="00F73D26" w:rsidRPr="002A1EF1" w:rsidRDefault="00F73D26"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3F33845B" w14:textId="77777777" w:rsidR="00F73D26" w:rsidRPr="002A1EF1" w:rsidRDefault="00F73D26"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F73D26" w14:paraId="53E46D98" w14:textId="77777777" w:rsidTr="003377E2">
        <w:tc>
          <w:tcPr>
            <w:tcW w:w="3964" w:type="dxa"/>
          </w:tcPr>
          <w:p w14:paraId="3F2EEB9B" w14:textId="77777777" w:rsidR="00F73D26" w:rsidRDefault="00F73D26" w:rsidP="00F73D26">
            <w:pPr>
              <w:pStyle w:val="ListParagraph"/>
              <w:numPr>
                <w:ilvl w:val="0"/>
                <w:numId w:val="38"/>
              </w:numPr>
              <w:rPr>
                <w:rFonts w:ascii="Arial" w:hAnsi="Arial" w:cs="Arial"/>
                <w:color w:val="000000" w:themeColor="text1"/>
                <w:sz w:val="22"/>
                <w:szCs w:val="22"/>
              </w:rPr>
            </w:pPr>
            <w:r w:rsidRPr="009A5367">
              <w:rPr>
                <w:rFonts w:ascii="Arial" w:hAnsi="Arial" w:cs="Arial"/>
                <w:color w:val="000000" w:themeColor="text1"/>
                <w:sz w:val="22"/>
                <w:szCs w:val="22"/>
              </w:rPr>
              <w:t>Continue to fund Teaching Assistants to provide targeted intervention to targeted pupils to support their progress with basic skills and their wellbeing</w:t>
            </w:r>
            <w:r>
              <w:rPr>
                <w:rFonts w:ascii="Arial" w:hAnsi="Arial" w:cs="Arial"/>
                <w:color w:val="000000" w:themeColor="text1"/>
                <w:sz w:val="22"/>
                <w:szCs w:val="22"/>
              </w:rPr>
              <w:t>, increasing capacity for ELSA support</w:t>
            </w:r>
            <w:r w:rsidRPr="009A5367">
              <w:rPr>
                <w:rFonts w:ascii="Arial" w:hAnsi="Arial" w:cs="Arial"/>
                <w:color w:val="000000" w:themeColor="text1"/>
                <w:sz w:val="22"/>
                <w:szCs w:val="22"/>
              </w:rPr>
              <w:t>.</w:t>
            </w:r>
          </w:p>
          <w:p w14:paraId="3E68EA99" w14:textId="77777777" w:rsidR="00F73D26" w:rsidRDefault="00F73D26" w:rsidP="003377E2">
            <w:pPr>
              <w:rPr>
                <w:rFonts w:ascii="Arial" w:hAnsi="Arial" w:cs="Arial"/>
                <w:b/>
                <w:bCs/>
                <w:color w:val="000000" w:themeColor="text1"/>
                <w:sz w:val="22"/>
                <w:szCs w:val="22"/>
              </w:rPr>
            </w:pPr>
          </w:p>
        </w:tc>
        <w:tc>
          <w:tcPr>
            <w:tcW w:w="4486" w:type="dxa"/>
          </w:tcPr>
          <w:p w14:paraId="21622E40" w14:textId="77777777" w:rsidR="00F73D26" w:rsidRDefault="00C6543A" w:rsidP="00440C4E">
            <w:pPr>
              <w:tabs>
                <w:tab w:val="left" w:pos="1402"/>
              </w:tabs>
              <w:rPr>
                <w:rFonts w:ascii="Arial" w:hAnsi="Arial"/>
                <w:sz w:val="22"/>
                <w:szCs w:val="22"/>
              </w:rPr>
            </w:pPr>
            <w:r>
              <w:rPr>
                <w:rFonts w:ascii="Arial" w:hAnsi="Arial"/>
                <w:sz w:val="22"/>
                <w:szCs w:val="22"/>
              </w:rPr>
              <w:t xml:space="preserve">Evidence from the Education Endowment Foundation highlights that the use of Teaching Assistants to provide targeted intervention skills has ‘moderate impact for moderate cost based on moderate evidence’ (an additional 4 </w:t>
            </w:r>
            <w:proofErr w:type="gramStart"/>
            <w:r>
              <w:rPr>
                <w:rFonts w:ascii="Arial" w:hAnsi="Arial"/>
                <w:sz w:val="22"/>
                <w:szCs w:val="22"/>
              </w:rPr>
              <w:t>months</w:t>
            </w:r>
            <w:proofErr w:type="gramEnd"/>
            <w:r>
              <w:rPr>
                <w:rFonts w:ascii="Arial" w:hAnsi="Arial"/>
                <w:sz w:val="22"/>
                <w:szCs w:val="22"/>
              </w:rPr>
              <w:t xml:space="preserve"> progress over the academic year).</w:t>
            </w:r>
          </w:p>
          <w:p w14:paraId="2BC76625" w14:textId="77777777" w:rsidR="005C7D65" w:rsidRDefault="005C7D65" w:rsidP="005C7D65">
            <w:pPr>
              <w:tabs>
                <w:tab w:val="left" w:pos="1402"/>
              </w:tabs>
              <w:rPr>
                <w:rFonts w:ascii="Arial" w:hAnsi="Arial"/>
                <w:sz w:val="22"/>
                <w:szCs w:val="22"/>
              </w:rPr>
            </w:pPr>
            <w:r>
              <w:rPr>
                <w:rFonts w:ascii="Arial" w:hAnsi="Arial"/>
                <w:sz w:val="22"/>
                <w:szCs w:val="22"/>
              </w:rPr>
              <w:t xml:space="preserve">Evidence from the Education Endowment Foundation highlights that the development of pupils’ social and emotional learning has ‘moderate impact for very low cost based on very limited evidence’ (an additional 4 </w:t>
            </w:r>
            <w:proofErr w:type="gramStart"/>
            <w:r>
              <w:rPr>
                <w:rFonts w:ascii="Arial" w:hAnsi="Arial"/>
                <w:sz w:val="22"/>
                <w:szCs w:val="22"/>
              </w:rPr>
              <w:t>months</w:t>
            </w:r>
            <w:proofErr w:type="gramEnd"/>
            <w:r>
              <w:rPr>
                <w:rFonts w:ascii="Arial" w:hAnsi="Arial"/>
                <w:sz w:val="22"/>
                <w:szCs w:val="22"/>
              </w:rPr>
              <w:t xml:space="preserve"> progress over the academic year). Evidence from school monitoring highlights progress many pupils make with their overall wellbeing and self-esteem through participating in nurture provision, Elsa etc. </w:t>
            </w:r>
          </w:p>
          <w:p w14:paraId="59FCD782" w14:textId="348C342B" w:rsidR="005C7D65" w:rsidRPr="00440C4E" w:rsidRDefault="005C7D65" w:rsidP="005C7D65">
            <w:pPr>
              <w:tabs>
                <w:tab w:val="left" w:pos="1402"/>
              </w:tabs>
              <w:rPr>
                <w:rFonts w:ascii="Arial" w:hAnsi="Arial"/>
                <w:sz w:val="22"/>
                <w:szCs w:val="22"/>
              </w:rPr>
            </w:pPr>
            <w:r>
              <w:rPr>
                <w:rFonts w:ascii="Arial" w:hAnsi="Arial"/>
                <w:sz w:val="22"/>
                <w:szCs w:val="22"/>
              </w:rPr>
              <w:t>Corridor circuits to aid Gross Motor Skills (Sensory Processing).</w:t>
            </w:r>
          </w:p>
        </w:tc>
      </w:tr>
    </w:tbl>
    <w:p w14:paraId="3668539B" w14:textId="77777777" w:rsidR="00F73D26" w:rsidRPr="00F73D26" w:rsidRDefault="00F73D26" w:rsidP="00F73D26">
      <w:pPr>
        <w:rPr>
          <w:rFonts w:ascii="Arial" w:hAnsi="Arial" w:cs="Arial"/>
          <w:color w:val="000000" w:themeColor="text1"/>
          <w:sz w:val="22"/>
          <w:szCs w:val="22"/>
        </w:rPr>
      </w:pPr>
    </w:p>
    <w:p w14:paraId="7B7120FA" w14:textId="77777777" w:rsidR="00D21155" w:rsidRDefault="00D21155" w:rsidP="00D21155">
      <w:pPr>
        <w:rPr>
          <w:rFonts w:ascii="Arial" w:hAnsi="Arial" w:cs="Arial"/>
          <w:color w:val="000000" w:themeColor="text1"/>
          <w:sz w:val="22"/>
          <w:szCs w:val="22"/>
        </w:rPr>
      </w:pPr>
    </w:p>
    <w:p w14:paraId="4C3C9EF5" w14:textId="5F60BCCF" w:rsidR="00D21155" w:rsidRDefault="005B737B" w:rsidP="002C2B71">
      <w:pPr>
        <w:ind w:firstLine="720"/>
        <w:rPr>
          <w:rFonts w:ascii="Arial" w:hAnsi="Arial" w:cs="Arial"/>
          <w:b/>
          <w:color w:val="000000" w:themeColor="text1"/>
          <w:sz w:val="22"/>
          <w:szCs w:val="22"/>
        </w:rPr>
      </w:pPr>
      <w:r w:rsidRPr="002C2B71">
        <w:rPr>
          <w:rFonts w:ascii="Arial" w:hAnsi="Arial" w:cs="Arial"/>
          <w:b/>
          <w:color w:val="000000" w:themeColor="text1"/>
          <w:sz w:val="22"/>
          <w:szCs w:val="22"/>
        </w:rPr>
        <w:t>Community</w:t>
      </w:r>
      <w:r w:rsidR="00A85817" w:rsidRPr="002C2B71">
        <w:rPr>
          <w:rFonts w:ascii="Arial" w:hAnsi="Arial" w:cs="Arial"/>
          <w:b/>
          <w:color w:val="000000" w:themeColor="text1"/>
          <w:sz w:val="22"/>
          <w:szCs w:val="22"/>
        </w:rPr>
        <w:t xml:space="preserve"> Schools </w:t>
      </w:r>
    </w:p>
    <w:p w14:paraId="37B78BA6" w14:textId="40A3E748" w:rsidR="002C2B71" w:rsidRDefault="002C2B71" w:rsidP="002C2B71">
      <w:pPr>
        <w:pStyle w:val="ListParagraph"/>
        <w:rPr>
          <w:rFonts w:ascii="Arial" w:hAnsi="Arial" w:cs="Arial"/>
          <w:b/>
          <w:bCs/>
          <w:color w:val="000000" w:themeColor="text1"/>
          <w:sz w:val="22"/>
          <w:szCs w:val="22"/>
        </w:rPr>
      </w:pPr>
      <w:r>
        <w:rPr>
          <w:rFonts w:ascii="Arial" w:hAnsi="Arial" w:cs="Arial"/>
          <w:b/>
          <w:bCs/>
          <w:color w:val="000000" w:themeColor="text1"/>
          <w:sz w:val="22"/>
          <w:szCs w:val="22"/>
        </w:rPr>
        <w:t>Budget Cost: £</w:t>
      </w:r>
      <w:r w:rsidR="00E760A4">
        <w:rPr>
          <w:rFonts w:ascii="Arial" w:hAnsi="Arial" w:cs="Arial"/>
          <w:b/>
          <w:bCs/>
          <w:color w:val="000000" w:themeColor="text1"/>
          <w:sz w:val="22"/>
          <w:szCs w:val="22"/>
        </w:rPr>
        <w:t>4</w:t>
      </w:r>
      <w:r w:rsidR="00BA728E">
        <w:rPr>
          <w:rFonts w:ascii="Arial" w:hAnsi="Arial" w:cs="Arial"/>
          <w:b/>
          <w:bCs/>
          <w:color w:val="000000" w:themeColor="text1"/>
          <w:sz w:val="22"/>
          <w:szCs w:val="22"/>
        </w:rPr>
        <w:t>,000</w:t>
      </w:r>
    </w:p>
    <w:p w14:paraId="278F18CF" w14:textId="77777777" w:rsidR="002C2B71" w:rsidRPr="002C2B71" w:rsidRDefault="002C2B71" w:rsidP="002C2B71">
      <w:pPr>
        <w:ind w:firstLine="720"/>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964"/>
        <w:gridCol w:w="4486"/>
      </w:tblGrid>
      <w:tr w:rsidR="00A85817" w14:paraId="4713D407" w14:textId="77777777" w:rsidTr="003377E2">
        <w:tc>
          <w:tcPr>
            <w:tcW w:w="3964" w:type="dxa"/>
            <w:shd w:val="clear" w:color="auto" w:fill="002060"/>
          </w:tcPr>
          <w:p w14:paraId="74BE8A06" w14:textId="77777777" w:rsidR="00A85817" w:rsidRPr="002A1EF1" w:rsidRDefault="00A85817" w:rsidP="003377E2">
            <w:pPr>
              <w:rPr>
                <w:rFonts w:ascii="Arial" w:hAnsi="Arial" w:cs="Arial"/>
                <w:b/>
                <w:bCs/>
                <w:color w:val="000000" w:themeColor="text1"/>
              </w:rPr>
            </w:pPr>
            <w:r w:rsidRPr="002A1EF1">
              <w:rPr>
                <w:rFonts w:ascii="Arial" w:hAnsi="Arial" w:cs="Arial"/>
                <w:b/>
                <w:bCs/>
              </w:rPr>
              <w:t>Activity</w:t>
            </w:r>
            <w:r>
              <w:rPr>
                <w:rFonts w:ascii="Arial" w:hAnsi="Arial" w:cs="Arial"/>
                <w:b/>
                <w:bCs/>
              </w:rPr>
              <w:t>:</w:t>
            </w:r>
          </w:p>
        </w:tc>
        <w:tc>
          <w:tcPr>
            <w:tcW w:w="4486" w:type="dxa"/>
            <w:shd w:val="clear" w:color="auto" w:fill="002060"/>
          </w:tcPr>
          <w:p w14:paraId="4CC1EFA8" w14:textId="77777777" w:rsidR="00A85817" w:rsidRPr="002A1EF1" w:rsidRDefault="00A85817" w:rsidP="003377E2">
            <w:pPr>
              <w:rPr>
                <w:rFonts w:ascii="Arial" w:hAnsi="Arial" w:cs="Arial"/>
                <w:b/>
                <w:bCs/>
                <w:color w:val="000000" w:themeColor="text1"/>
              </w:rPr>
            </w:pPr>
            <w:r w:rsidRPr="002A1EF1">
              <w:rPr>
                <w:rFonts w:ascii="Arial" w:hAnsi="Arial" w:cs="Arial"/>
                <w:b/>
                <w:bCs/>
              </w:rPr>
              <w:t>Evidence that supports this approach</w:t>
            </w:r>
            <w:r>
              <w:rPr>
                <w:rFonts w:ascii="Arial" w:hAnsi="Arial" w:cs="Arial"/>
                <w:b/>
                <w:bCs/>
              </w:rPr>
              <w:t>:</w:t>
            </w:r>
          </w:p>
        </w:tc>
      </w:tr>
      <w:tr w:rsidR="002B68B5" w:rsidRPr="002B68B5" w14:paraId="329047FA" w14:textId="77777777" w:rsidTr="003377E2">
        <w:tc>
          <w:tcPr>
            <w:tcW w:w="3964" w:type="dxa"/>
          </w:tcPr>
          <w:p w14:paraId="7CFAB05B" w14:textId="77777777" w:rsidR="002B68B5" w:rsidRPr="00915358" w:rsidRDefault="002B68B5" w:rsidP="002B68B5">
            <w:pPr>
              <w:rPr>
                <w:rFonts w:ascii="Arial" w:hAnsi="Arial" w:cs="Arial"/>
                <w:b/>
                <w:color w:val="000000" w:themeColor="text1"/>
                <w:sz w:val="22"/>
                <w:szCs w:val="22"/>
              </w:rPr>
            </w:pPr>
            <w:r w:rsidRPr="00915358">
              <w:rPr>
                <w:rFonts w:ascii="Arial" w:hAnsi="Arial" w:cs="Arial"/>
                <w:b/>
                <w:color w:val="000000" w:themeColor="text1"/>
                <w:sz w:val="22"/>
                <w:szCs w:val="22"/>
              </w:rPr>
              <w:t>Family Engagement Officer</w:t>
            </w:r>
            <w:r>
              <w:rPr>
                <w:rFonts w:ascii="Arial" w:hAnsi="Arial" w:cs="Arial"/>
                <w:b/>
                <w:color w:val="000000" w:themeColor="text1"/>
                <w:sz w:val="22"/>
                <w:szCs w:val="22"/>
              </w:rPr>
              <w:t>- Pilot</w:t>
            </w:r>
          </w:p>
          <w:p w14:paraId="384C91D7" w14:textId="77777777" w:rsidR="002B68B5" w:rsidRDefault="002B68B5" w:rsidP="002B68B5">
            <w:pPr>
              <w:pStyle w:val="ListParagraph"/>
              <w:numPr>
                <w:ilvl w:val="0"/>
                <w:numId w:val="38"/>
              </w:numPr>
              <w:rPr>
                <w:rFonts w:ascii="Arial" w:hAnsi="Arial" w:cs="Arial"/>
                <w:color w:val="000000" w:themeColor="text1"/>
                <w:sz w:val="22"/>
                <w:szCs w:val="22"/>
              </w:rPr>
            </w:pPr>
            <w:r w:rsidRPr="00215CEA">
              <w:rPr>
                <w:rFonts w:ascii="Arial" w:hAnsi="Arial" w:cs="Arial"/>
                <w:color w:val="000000" w:themeColor="text1"/>
                <w:sz w:val="22"/>
                <w:szCs w:val="22"/>
              </w:rPr>
              <w:t xml:space="preserve">To continue to support pilot funded by WG to improve </w:t>
            </w:r>
            <w:r w:rsidRPr="00215CEA">
              <w:rPr>
                <w:rFonts w:ascii="Arial" w:hAnsi="Arial" w:cs="Arial"/>
                <w:color w:val="000000" w:themeColor="text1"/>
                <w:sz w:val="22"/>
                <w:szCs w:val="22"/>
              </w:rPr>
              <w:lastRenderedPageBreak/>
              <w:t>community involvement within the school.</w:t>
            </w:r>
          </w:p>
          <w:p w14:paraId="360E09B4" w14:textId="1B375CD7" w:rsidR="002B68B5" w:rsidRPr="00D60B2B" w:rsidRDefault="002B68B5" w:rsidP="002B68B5">
            <w:pPr>
              <w:pStyle w:val="ListParagraph"/>
              <w:numPr>
                <w:ilvl w:val="0"/>
                <w:numId w:val="38"/>
              </w:numPr>
              <w:rPr>
                <w:rFonts w:ascii="Arial" w:hAnsi="Arial" w:cs="Arial"/>
                <w:b/>
                <w:bCs/>
                <w:color w:val="000000" w:themeColor="text1"/>
                <w:sz w:val="22"/>
                <w:szCs w:val="22"/>
              </w:rPr>
            </w:pPr>
            <w:r w:rsidRPr="00CA748D">
              <w:rPr>
                <w:rFonts w:ascii="Arial" w:hAnsi="Arial" w:cs="Arial"/>
                <w:sz w:val="22"/>
                <w:szCs w:val="22"/>
              </w:rPr>
              <w:t>Activities include</w:t>
            </w:r>
            <w:r w:rsidRPr="00CA748D">
              <w:rPr>
                <w:rFonts w:asciiTheme="minorHAnsi" w:eastAsiaTheme="minorEastAsia" w:hAnsi="Calibri" w:cstheme="minorBidi"/>
                <w:kern w:val="24"/>
                <w:sz w:val="22"/>
                <w:szCs w:val="22"/>
              </w:rPr>
              <w:t xml:space="preserve"> </w:t>
            </w:r>
            <w:r w:rsidRPr="00CA748D">
              <w:rPr>
                <w:rFonts w:ascii="Arial" w:hAnsi="Arial" w:cs="Arial"/>
                <w:sz w:val="22"/>
                <w:szCs w:val="22"/>
              </w:rPr>
              <w:t xml:space="preserve">parental engagement, community engagement, working with vulnerable families, </w:t>
            </w:r>
            <w:r w:rsidR="00890AF8">
              <w:rPr>
                <w:rFonts w:ascii="Arial" w:hAnsi="Arial" w:cs="Arial"/>
                <w:sz w:val="22"/>
                <w:szCs w:val="22"/>
              </w:rPr>
              <w:t xml:space="preserve">parenting support, supporting </w:t>
            </w:r>
            <w:r w:rsidRPr="00CA748D">
              <w:rPr>
                <w:rFonts w:ascii="Arial" w:hAnsi="Arial" w:cs="Arial"/>
                <w:sz w:val="22"/>
                <w:szCs w:val="22"/>
              </w:rPr>
              <w:t>attendance</w:t>
            </w:r>
            <w:r>
              <w:rPr>
                <w:rFonts w:ascii="Arial" w:hAnsi="Arial" w:cs="Arial"/>
                <w:sz w:val="22"/>
                <w:szCs w:val="22"/>
              </w:rPr>
              <w:t>.</w:t>
            </w:r>
          </w:p>
          <w:p w14:paraId="7388239A" w14:textId="26D4932F" w:rsidR="00D60B2B" w:rsidRPr="00890AF8" w:rsidRDefault="00D60B2B" w:rsidP="002B68B5">
            <w:pPr>
              <w:pStyle w:val="ListParagraph"/>
              <w:numPr>
                <w:ilvl w:val="0"/>
                <w:numId w:val="38"/>
              </w:numPr>
              <w:rPr>
                <w:rFonts w:ascii="Arial" w:hAnsi="Arial" w:cs="Arial"/>
                <w:color w:val="000000" w:themeColor="text1"/>
                <w:sz w:val="22"/>
                <w:szCs w:val="22"/>
              </w:rPr>
            </w:pPr>
            <w:r w:rsidRPr="001A1570">
              <w:rPr>
                <w:rFonts w:ascii="Arial" w:hAnsi="Arial" w:cs="Arial"/>
                <w:sz w:val="22"/>
                <w:szCs w:val="22"/>
              </w:rPr>
              <w:t xml:space="preserve">Workshops </w:t>
            </w:r>
            <w:r w:rsidR="009E58B7" w:rsidRPr="001A1570">
              <w:rPr>
                <w:rFonts w:ascii="Arial" w:hAnsi="Arial" w:cs="Arial"/>
                <w:sz w:val="22"/>
                <w:szCs w:val="22"/>
              </w:rPr>
              <w:t>will be</w:t>
            </w:r>
            <w:r w:rsidR="00A806E2" w:rsidRPr="001A1570">
              <w:rPr>
                <w:rFonts w:ascii="Arial" w:hAnsi="Arial" w:cs="Arial"/>
                <w:sz w:val="22"/>
                <w:szCs w:val="22"/>
              </w:rPr>
              <w:t xml:space="preserve"> run for parents to help them support their children at school (</w:t>
            </w:r>
            <w:r w:rsidR="00890AF8">
              <w:rPr>
                <w:rFonts w:ascii="Arial" w:hAnsi="Arial" w:cs="Arial"/>
                <w:sz w:val="22"/>
                <w:szCs w:val="22"/>
              </w:rPr>
              <w:t>m</w:t>
            </w:r>
            <w:r w:rsidR="00A806E2" w:rsidRPr="001A1570">
              <w:rPr>
                <w:rFonts w:ascii="Arial" w:hAnsi="Arial" w:cs="Arial"/>
                <w:sz w:val="22"/>
                <w:szCs w:val="22"/>
              </w:rPr>
              <w:t>aths,</w:t>
            </w:r>
            <w:r w:rsidR="00890AF8">
              <w:rPr>
                <w:rFonts w:ascii="Arial" w:hAnsi="Arial" w:cs="Arial"/>
                <w:sz w:val="22"/>
                <w:szCs w:val="22"/>
              </w:rPr>
              <w:t xml:space="preserve"> literacy,</w:t>
            </w:r>
            <w:r w:rsidR="00A806E2" w:rsidRPr="001A1570">
              <w:rPr>
                <w:rFonts w:ascii="Arial" w:hAnsi="Arial" w:cs="Arial"/>
                <w:sz w:val="22"/>
                <w:szCs w:val="22"/>
              </w:rPr>
              <w:t xml:space="preserve"> </w:t>
            </w:r>
            <w:r w:rsidR="00890AF8">
              <w:rPr>
                <w:rFonts w:ascii="Arial" w:hAnsi="Arial" w:cs="Arial"/>
                <w:sz w:val="22"/>
                <w:szCs w:val="22"/>
              </w:rPr>
              <w:t xml:space="preserve">digital, Welsh, </w:t>
            </w:r>
            <w:r w:rsidR="00A806E2" w:rsidRPr="001A1570">
              <w:rPr>
                <w:rFonts w:ascii="Arial" w:hAnsi="Arial" w:cs="Arial"/>
                <w:sz w:val="22"/>
                <w:szCs w:val="22"/>
              </w:rPr>
              <w:t>cooking on a budget</w:t>
            </w:r>
            <w:r w:rsidR="001A1570" w:rsidRPr="001A1570">
              <w:rPr>
                <w:rFonts w:ascii="Arial" w:hAnsi="Arial" w:cs="Arial"/>
                <w:sz w:val="22"/>
                <w:szCs w:val="22"/>
              </w:rPr>
              <w:t>)</w:t>
            </w:r>
            <w:r w:rsidR="001A1570">
              <w:rPr>
                <w:rFonts w:ascii="Arial" w:hAnsi="Arial" w:cs="Arial"/>
                <w:sz w:val="22"/>
                <w:szCs w:val="22"/>
              </w:rPr>
              <w:t>.</w:t>
            </w:r>
          </w:p>
          <w:p w14:paraId="7EB60CED" w14:textId="46B19BCA" w:rsidR="00890AF8" w:rsidRDefault="00890AF8" w:rsidP="002B68B5">
            <w:pPr>
              <w:pStyle w:val="ListParagraph"/>
              <w:numPr>
                <w:ilvl w:val="0"/>
                <w:numId w:val="38"/>
              </w:numPr>
              <w:rPr>
                <w:rFonts w:ascii="Arial" w:hAnsi="Arial" w:cs="Arial"/>
                <w:color w:val="000000" w:themeColor="text1"/>
                <w:sz w:val="22"/>
                <w:szCs w:val="22"/>
              </w:rPr>
            </w:pPr>
            <w:r>
              <w:rPr>
                <w:rFonts w:ascii="Arial" w:hAnsi="Arial" w:cs="Arial"/>
                <w:color w:val="000000" w:themeColor="text1"/>
                <w:sz w:val="22"/>
                <w:szCs w:val="22"/>
              </w:rPr>
              <w:t>Workshops will help adults with everyday life skills and increase their learning skills (courses for parents, budgeting, financial management, application forms and CVs, parenting skills).</w:t>
            </w:r>
          </w:p>
          <w:p w14:paraId="250AA017" w14:textId="7805F958" w:rsidR="00890AF8" w:rsidRPr="001A1570" w:rsidRDefault="00890AF8" w:rsidP="002B68B5">
            <w:pPr>
              <w:pStyle w:val="ListParagraph"/>
              <w:numPr>
                <w:ilvl w:val="0"/>
                <w:numId w:val="38"/>
              </w:numPr>
              <w:rPr>
                <w:rFonts w:ascii="Arial" w:hAnsi="Arial" w:cs="Arial"/>
                <w:color w:val="000000" w:themeColor="text1"/>
                <w:sz w:val="22"/>
                <w:szCs w:val="22"/>
              </w:rPr>
            </w:pPr>
            <w:r>
              <w:rPr>
                <w:rFonts w:ascii="Arial" w:hAnsi="Arial" w:cs="Arial"/>
                <w:color w:val="000000" w:themeColor="text1"/>
                <w:sz w:val="22"/>
                <w:szCs w:val="22"/>
              </w:rPr>
              <w:t xml:space="preserve">Establish and refine a community room for families. </w:t>
            </w:r>
          </w:p>
          <w:p w14:paraId="1B30FC7F" w14:textId="292D375C" w:rsidR="001A1570" w:rsidRPr="001A1570" w:rsidRDefault="001A1570" w:rsidP="002B68B5">
            <w:pPr>
              <w:pStyle w:val="ListParagraph"/>
              <w:numPr>
                <w:ilvl w:val="0"/>
                <w:numId w:val="38"/>
              </w:numPr>
              <w:rPr>
                <w:rFonts w:ascii="Arial" w:hAnsi="Arial" w:cs="Arial"/>
                <w:color w:val="000000" w:themeColor="text1"/>
                <w:sz w:val="22"/>
                <w:szCs w:val="22"/>
              </w:rPr>
            </w:pPr>
            <w:r w:rsidRPr="001A1570">
              <w:rPr>
                <w:rFonts w:ascii="Arial" w:hAnsi="Arial" w:cs="Arial"/>
                <w:color w:val="000000" w:themeColor="text1"/>
                <w:sz w:val="22"/>
                <w:szCs w:val="22"/>
              </w:rPr>
              <w:t xml:space="preserve">Flying Start will use a room within our school to support </w:t>
            </w:r>
            <w:r>
              <w:rPr>
                <w:rFonts w:ascii="Arial" w:hAnsi="Arial" w:cs="Arial"/>
                <w:color w:val="000000" w:themeColor="text1"/>
                <w:sz w:val="22"/>
                <w:szCs w:val="22"/>
              </w:rPr>
              <w:t xml:space="preserve">families. </w:t>
            </w:r>
          </w:p>
        </w:tc>
        <w:tc>
          <w:tcPr>
            <w:tcW w:w="4486" w:type="dxa"/>
          </w:tcPr>
          <w:p w14:paraId="51A3D46B" w14:textId="77777777" w:rsidR="002B68B5" w:rsidRPr="002B68B5" w:rsidRDefault="002B68B5" w:rsidP="002B68B5">
            <w:pPr>
              <w:tabs>
                <w:tab w:val="left" w:pos="1402"/>
              </w:tabs>
              <w:rPr>
                <w:rFonts w:ascii="Arial" w:hAnsi="Arial" w:cs="Arial"/>
                <w:sz w:val="22"/>
                <w:szCs w:val="22"/>
              </w:rPr>
            </w:pPr>
            <w:r w:rsidRPr="002B68B5">
              <w:rPr>
                <w:rFonts w:ascii="Arial" w:hAnsi="Arial" w:cs="Arial"/>
                <w:sz w:val="22"/>
                <w:szCs w:val="22"/>
              </w:rPr>
              <w:lastRenderedPageBreak/>
              <w:t xml:space="preserve">Evidence from the Education Endowment Foundation highlights that parental engagement has ‘moderate impact for very low cost based on extensive evidence’ (an </w:t>
            </w:r>
            <w:r w:rsidRPr="002B68B5">
              <w:rPr>
                <w:rFonts w:ascii="Arial" w:hAnsi="Arial" w:cs="Arial"/>
                <w:sz w:val="22"/>
                <w:szCs w:val="22"/>
              </w:rPr>
              <w:lastRenderedPageBreak/>
              <w:t xml:space="preserve">additional 4 </w:t>
            </w:r>
            <w:proofErr w:type="gramStart"/>
            <w:r w:rsidRPr="002B68B5">
              <w:rPr>
                <w:rFonts w:ascii="Arial" w:hAnsi="Arial" w:cs="Arial"/>
                <w:sz w:val="22"/>
                <w:szCs w:val="22"/>
              </w:rPr>
              <w:t>months</w:t>
            </w:r>
            <w:proofErr w:type="gramEnd"/>
            <w:r w:rsidRPr="002B68B5">
              <w:rPr>
                <w:rFonts w:ascii="Arial" w:hAnsi="Arial" w:cs="Arial"/>
                <w:sz w:val="22"/>
                <w:szCs w:val="22"/>
              </w:rPr>
              <w:t xml:space="preserve"> progress over the academic year).</w:t>
            </w:r>
          </w:p>
          <w:p w14:paraId="17FED4F6" w14:textId="77777777" w:rsidR="002B68B5" w:rsidRPr="002B68B5" w:rsidRDefault="002B68B5" w:rsidP="002B68B5">
            <w:pPr>
              <w:pStyle w:val="TableRowCentered"/>
              <w:ind w:left="0"/>
              <w:jc w:val="left"/>
              <w:rPr>
                <w:rFonts w:cs="Arial"/>
                <w:color w:val="auto"/>
                <w:sz w:val="22"/>
                <w:szCs w:val="22"/>
              </w:rPr>
            </w:pPr>
            <w:r w:rsidRPr="002B68B5">
              <w:rPr>
                <w:rFonts w:cs="Arial"/>
                <w:color w:val="auto"/>
                <w:sz w:val="22"/>
                <w:szCs w:val="22"/>
              </w:rPr>
              <w:t>Evidence from Janet Goodhall’s ‘parental engagement’ shows significant impact with children’s learning particularly in areas of high deprivation.  In addition, evidence from local schools that have already developed the role and highlights positive impact regarding attendance, wellbeing and learning outcomes.</w:t>
            </w:r>
          </w:p>
          <w:p w14:paraId="5331C0D2" w14:textId="77553BA3" w:rsidR="002B68B5" w:rsidRDefault="002B68B5" w:rsidP="002B68B5">
            <w:pPr>
              <w:rPr>
                <w:rFonts w:ascii="Arial" w:hAnsi="Arial" w:cs="Arial"/>
                <w:sz w:val="22"/>
                <w:szCs w:val="22"/>
              </w:rPr>
            </w:pPr>
            <w:r w:rsidRPr="002B68B5">
              <w:rPr>
                <w:rFonts w:ascii="Arial" w:hAnsi="Arial" w:cs="Arial"/>
                <w:sz w:val="22"/>
                <w:szCs w:val="22"/>
              </w:rPr>
              <w:t>Evidence from Education Endowment Foundation shows significant impact when parents engage at home with their children.</w:t>
            </w:r>
            <w:r w:rsidR="00E75266">
              <w:rPr>
                <w:rFonts w:ascii="Arial" w:hAnsi="Arial" w:cs="Arial"/>
                <w:sz w:val="22"/>
                <w:szCs w:val="22"/>
              </w:rPr>
              <w:t xml:space="preserve"> </w:t>
            </w:r>
            <w:r w:rsidR="00E75266" w:rsidRPr="00E75266">
              <w:rPr>
                <w:rFonts w:ascii="Arial" w:hAnsi="Arial" w:cs="Arial"/>
                <w:color w:val="000000" w:themeColor="text1"/>
                <w:sz w:val="22"/>
                <w:szCs w:val="22"/>
              </w:rPr>
              <w:t>EEF Parental Engagement- Moderate Impact</w:t>
            </w:r>
          </w:p>
          <w:p w14:paraId="41534524" w14:textId="4B856359" w:rsidR="00E75266" w:rsidRPr="002B68B5" w:rsidRDefault="00E75266" w:rsidP="002B68B5">
            <w:pPr>
              <w:rPr>
                <w:rFonts w:ascii="Arial" w:hAnsi="Arial" w:cs="Arial"/>
                <w:color w:val="000000" w:themeColor="text1"/>
                <w:sz w:val="22"/>
                <w:szCs w:val="22"/>
              </w:rPr>
            </w:pPr>
            <w:r w:rsidRPr="00E75266">
              <w:rPr>
                <w:rFonts w:ascii="Arial" w:hAnsi="Arial" w:cs="Arial"/>
                <w:color w:val="000000" w:themeColor="text1"/>
                <w:sz w:val="22"/>
                <w:szCs w:val="22"/>
              </w:rPr>
              <w:t xml:space="preserve">The 4 Pillars of Parental Engagement-Robbins &amp; Dempster, 2021. Engage Every Family-Constantino, 2021 </w:t>
            </w:r>
          </w:p>
        </w:tc>
      </w:tr>
    </w:tbl>
    <w:p w14:paraId="25B8B9C8" w14:textId="77777777" w:rsidR="00641D82" w:rsidRPr="006119CB" w:rsidRDefault="00641D82" w:rsidP="00641D82"/>
    <w:p w14:paraId="3ABBFB22" w14:textId="77777777" w:rsidR="00641D82" w:rsidRPr="006435B8" w:rsidRDefault="00641D82" w:rsidP="00641D82">
      <w:pPr>
        <w:pStyle w:val="Heading2"/>
        <w:rPr>
          <w:rFonts w:ascii="Arial" w:hAnsi="Arial" w:cs="Arial"/>
          <w:sz w:val="24"/>
          <w:szCs w:val="24"/>
        </w:rPr>
      </w:pPr>
      <w:r w:rsidRPr="006435B8">
        <w:rPr>
          <w:rFonts w:ascii="Arial" w:hAnsi="Arial" w:cs="Arial"/>
          <w:sz w:val="24"/>
          <w:szCs w:val="24"/>
        </w:rPr>
        <w:t>PDG outcomes</w:t>
      </w:r>
    </w:p>
    <w:p w14:paraId="589E1A25" w14:textId="29E69708" w:rsidR="00641D82" w:rsidRDefault="00641D82" w:rsidP="00641D82">
      <w:pPr>
        <w:rPr>
          <w:rFonts w:ascii="Arial" w:hAnsi="Arial" w:cs="Arial"/>
        </w:rPr>
      </w:pPr>
      <w:r>
        <w:rPr>
          <w:rFonts w:ascii="Arial" w:hAnsi="Arial" w:cs="Arial"/>
        </w:rPr>
        <w:t xml:space="preserve">For evidence of the impact of the PDG for the last academic year </w:t>
      </w:r>
      <w:r w:rsidR="00890AF8">
        <w:rPr>
          <w:rFonts w:ascii="Arial" w:hAnsi="Arial" w:cs="Arial"/>
        </w:rPr>
        <w:t xml:space="preserve">please see the plan and review on the school website. </w:t>
      </w:r>
    </w:p>
    <w:p w14:paraId="3F042D43" w14:textId="77777777" w:rsidR="00890AF8" w:rsidRDefault="00890AF8" w:rsidP="00AD7AAE">
      <w:pPr>
        <w:spacing w:after="480"/>
        <w:rPr>
          <w:rFonts w:ascii="Arial" w:hAnsi="Arial" w:cs="Arial"/>
          <w:b/>
          <w:bCs/>
        </w:rPr>
      </w:pPr>
    </w:p>
    <w:p w14:paraId="159638DB" w14:textId="64FFA906" w:rsidR="00E760A4" w:rsidRDefault="00BB2FF5" w:rsidP="00AD7AAE">
      <w:pPr>
        <w:spacing w:after="480"/>
        <w:rPr>
          <w:rFonts w:ascii="Arial" w:hAnsi="Arial" w:cs="Arial"/>
          <w:b/>
          <w:bCs/>
        </w:rPr>
      </w:pPr>
      <w:r w:rsidRPr="00BB2FF5">
        <w:rPr>
          <w:rFonts w:ascii="Arial" w:hAnsi="Arial" w:cs="Arial"/>
          <w:b/>
          <w:bCs/>
        </w:rPr>
        <w:t xml:space="preserve">Further information (optional) </w:t>
      </w:r>
    </w:p>
    <w:p w14:paraId="4A40F5DC" w14:textId="383648DE" w:rsidR="00BB2FF5" w:rsidRDefault="00BB2FF5" w:rsidP="00AD7AAE">
      <w:pPr>
        <w:spacing w:after="480"/>
        <w:rPr>
          <w:rFonts w:ascii="Arial" w:hAnsi="Arial" w:cs="Arial"/>
        </w:rPr>
      </w:pPr>
      <w:r w:rsidRPr="00BB2FF5">
        <w:rPr>
          <w:rFonts w:ascii="Arial" w:hAnsi="Arial" w:cs="Arial"/>
        </w:rPr>
        <w:t xml:space="preserve">At </w:t>
      </w:r>
      <w:r>
        <w:rPr>
          <w:rFonts w:ascii="Arial" w:hAnsi="Arial" w:cs="Arial"/>
        </w:rPr>
        <w:t xml:space="preserve">Cilffriw Primary </w:t>
      </w:r>
      <w:r w:rsidRPr="00BB2FF5">
        <w:rPr>
          <w:rFonts w:ascii="Arial" w:hAnsi="Arial" w:cs="Arial"/>
        </w:rPr>
        <w:t xml:space="preserve">our FSM, ACEs and additional varying vulnerabilities in our community mean that we aim for all our strategies to impact holistically on all our children. We know our families well and recognise that the range of different challenges facing our community may not be highlighted by PDG identification. As a result, our primary aim is to prioritise the wellbeing of our community and to introduce ways of working that will positively impact our learners both in school and in the wider social context of the community. Our approach to teaching &amp; learning is continuing to evolve so that our children build the skills, habits and dispositions of good learners </w:t>
      </w:r>
      <w:r>
        <w:rPr>
          <w:rFonts w:ascii="Arial" w:hAnsi="Arial" w:cs="Arial"/>
        </w:rPr>
        <w:t>in line with our school vision</w:t>
      </w:r>
      <w:r w:rsidR="00791439">
        <w:rPr>
          <w:rFonts w:ascii="Arial" w:hAnsi="Arial" w:cs="Arial"/>
        </w:rPr>
        <w:t xml:space="preserve"> and values</w:t>
      </w:r>
      <w:r>
        <w:rPr>
          <w:rFonts w:ascii="Arial" w:hAnsi="Arial" w:cs="Arial"/>
        </w:rPr>
        <w:t xml:space="preserve">. </w:t>
      </w:r>
    </w:p>
    <w:p w14:paraId="151820CD" w14:textId="1E493444" w:rsidR="00BD147E" w:rsidRPr="009B4D5F" w:rsidRDefault="00BD147E" w:rsidP="00AD7AAE">
      <w:pPr>
        <w:spacing w:after="480"/>
        <w:rPr>
          <w:rFonts w:ascii="Arial" w:hAnsi="Arial" w:cs="Arial"/>
          <w:b/>
          <w:bCs/>
        </w:rPr>
      </w:pPr>
    </w:p>
    <w:p w14:paraId="6EBD3CFE" w14:textId="77777777" w:rsidR="003E2318" w:rsidRPr="00F367B8" w:rsidRDefault="003E2318" w:rsidP="003E2318">
      <w:pPr>
        <w:shd w:val="clear" w:color="auto" w:fill="FFFFFF"/>
        <w:spacing w:before="100" w:beforeAutospacing="1" w:after="100" w:afterAutospacing="1"/>
        <w:rPr>
          <w:rFonts w:ascii="Arial" w:hAnsi="Arial" w:cs="Arial"/>
          <w:sz w:val="21"/>
          <w:szCs w:val="21"/>
        </w:rPr>
      </w:pPr>
    </w:p>
    <w:p w14:paraId="227DA138" w14:textId="77777777" w:rsidR="002E438D" w:rsidRPr="00F84808" w:rsidRDefault="002E438D" w:rsidP="00BE0916">
      <w:pPr>
        <w:rPr>
          <w:rFonts w:ascii="Segoe UI" w:hAnsi="Segoe UI" w:cs="Segoe UI"/>
          <w:bCs/>
          <w:sz w:val="28"/>
          <w:szCs w:val="28"/>
        </w:rPr>
      </w:pPr>
    </w:p>
    <w:sectPr w:rsidR="002E438D" w:rsidRPr="00F84808" w:rsidSect="00630626">
      <w:pgSz w:w="11906" w:h="16838"/>
      <w:pgMar w:top="899" w:right="1826" w:bottom="1078"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E60B" w14:textId="77777777" w:rsidR="00E14B00" w:rsidRDefault="00E14B00">
      <w:r>
        <w:separator/>
      </w:r>
    </w:p>
  </w:endnote>
  <w:endnote w:type="continuationSeparator" w:id="0">
    <w:p w14:paraId="4433D86C" w14:textId="77777777" w:rsidR="00E14B00" w:rsidRDefault="00E14B00">
      <w:r>
        <w:continuationSeparator/>
      </w:r>
    </w:p>
  </w:endnote>
  <w:endnote w:type="continuationNotice" w:id="1">
    <w:p w14:paraId="3E2752B2" w14:textId="77777777" w:rsidR="00E14B00" w:rsidRDefault="00E14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E66F" w14:textId="77777777" w:rsidR="00E14B00" w:rsidRDefault="00E14B00">
      <w:r>
        <w:separator/>
      </w:r>
    </w:p>
  </w:footnote>
  <w:footnote w:type="continuationSeparator" w:id="0">
    <w:p w14:paraId="387EF3A4" w14:textId="77777777" w:rsidR="00E14B00" w:rsidRDefault="00E14B00">
      <w:r>
        <w:continuationSeparator/>
      </w:r>
    </w:p>
  </w:footnote>
  <w:footnote w:type="continuationNotice" w:id="1">
    <w:p w14:paraId="643A099B" w14:textId="77777777" w:rsidR="00E14B00" w:rsidRDefault="00E14B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AE8E" w14:textId="47DCA156" w:rsidR="00EF6FE8" w:rsidRDefault="00EF6FE8">
    <w:pPr>
      <w:pStyle w:val="Header"/>
    </w:pPr>
    <w:r>
      <w:rPr>
        <w:rFonts w:cstheme="minorHAnsi"/>
        <w:noProof/>
        <w:color w:val="000000"/>
      </w:rPr>
      <w:drawing>
        <wp:anchor distT="0" distB="0" distL="114300" distR="114300" simplePos="0" relativeHeight="251658242" behindDoc="0" locked="0" layoutInCell="1" allowOverlap="1" wp14:anchorId="76263DF9" wp14:editId="23997EBA">
          <wp:simplePos x="0" y="0"/>
          <wp:positionH relativeFrom="column">
            <wp:posOffset>5346931</wp:posOffset>
          </wp:positionH>
          <wp:positionV relativeFrom="paragraph">
            <wp:posOffset>-407958</wp:posOffset>
          </wp:positionV>
          <wp:extent cx="593157" cy="593157"/>
          <wp:effectExtent l="0" t="38100" r="0" b="3810"/>
          <wp:wrapNone/>
          <wp:docPr id="466147679" name="Picture 5" descr="A green and blu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47679" name="Picture 5" descr="A green and blue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4093981">
                    <a:off x="0" y="0"/>
                    <a:ext cx="593157" cy="593157"/>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color w:val="000000"/>
      </w:rPr>
      <w:drawing>
        <wp:anchor distT="0" distB="0" distL="114300" distR="114300" simplePos="0" relativeHeight="251658241" behindDoc="0" locked="0" layoutInCell="1" allowOverlap="1" wp14:anchorId="60BD582E" wp14:editId="21943B92">
          <wp:simplePos x="0" y="0"/>
          <wp:positionH relativeFrom="column">
            <wp:posOffset>-292100</wp:posOffset>
          </wp:positionH>
          <wp:positionV relativeFrom="paragraph">
            <wp:posOffset>-366280</wp:posOffset>
          </wp:positionV>
          <wp:extent cx="1157592" cy="1157592"/>
          <wp:effectExtent l="0" t="0" r="0" b="0"/>
          <wp:wrapNone/>
          <wp:docPr id="2003050364" name="Picture 4"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50364" name="Picture 4" descr="A logo with a tree and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57592" cy="115759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52F561F" wp14:editId="2ABC7AAF">
          <wp:simplePos x="0" y="0"/>
          <wp:positionH relativeFrom="column">
            <wp:posOffset>-1161646</wp:posOffset>
          </wp:positionH>
          <wp:positionV relativeFrom="paragraph">
            <wp:posOffset>-450908</wp:posOffset>
          </wp:positionV>
          <wp:extent cx="6235430" cy="1031633"/>
          <wp:effectExtent l="0" t="0" r="0" b="0"/>
          <wp:wrapNone/>
          <wp:docPr id="1853410559" name="Picture 1" descr="A green and blue corner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410559" name="Picture 1" descr="A green and blue corner with black background&#10;&#10;Description automatically generated"/>
                  <pic:cNvPicPr/>
                </pic:nvPicPr>
                <pic:blipFill rotWithShape="1">
                  <a:blip r:embed="rId3">
                    <a:extLst>
                      <a:ext uri="{28A0092B-C50C-407E-A947-70E740481C1C}">
                        <a14:useLocalDpi xmlns:a14="http://schemas.microsoft.com/office/drawing/2010/main" val="0"/>
                      </a:ext>
                    </a:extLst>
                  </a:blip>
                  <a:srcRect l="1022" r="-1022" b="83455"/>
                  <a:stretch/>
                </pic:blipFill>
                <pic:spPr bwMode="auto">
                  <a:xfrm>
                    <a:off x="0" y="0"/>
                    <a:ext cx="6235430" cy="10316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A64"/>
    <w:multiLevelType w:val="hybridMultilevel"/>
    <w:tmpl w:val="35348F54"/>
    <w:numStyleLink w:val="ImportedStyle2"/>
  </w:abstractNum>
  <w:abstractNum w:abstractNumId="1" w15:restartNumberingAfterBreak="0">
    <w:nsid w:val="06785E98"/>
    <w:multiLevelType w:val="hybridMultilevel"/>
    <w:tmpl w:val="55F625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C7B50"/>
    <w:multiLevelType w:val="multilevel"/>
    <w:tmpl w:val="E24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905C0"/>
    <w:multiLevelType w:val="hybridMultilevel"/>
    <w:tmpl w:val="A656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B46D5"/>
    <w:multiLevelType w:val="hybridMultilevel"/>
    <w:tmpl w:val="15FCB2F0"/>
    <w:styleLink w:val="ImportedStyle3"/>
    <w:lvl w:ilvl="0" w:tplc="3E4680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A4BED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DEC53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B2DF8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1AE45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88E1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C82DC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AA390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4CDD6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1C56956"/>
    <w:multiLevelType w:val="multilevel"/>
    <w:tmpl w:val="AA1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2010B"/>
    <w:multiLevelType w:val="hybridMultilevel"/>
    <w:tmpl w:val="7142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B24F0"/>
    <w:multiLevelType w:val="hybridMultilevel"/>
    <w:tmpl w:val="68363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27A2A"/>
    <w:multiLevelType w:val="hybridMultilevel"/>
    <w:tmpl w:val="532AFA9A"/>
    <w:lvl w:ilvl="0" w:tplc="08090003">
      <w:start w:val="1"/>
      <w:numFmt w:val="bullet"/>
      <w:lvlText w:val="o"/>
      <w:lvlJc w:val="left"/>
      <w:pPr>
        <w:ind w:left="720" w:hanging="360"/>
      </w:pPr>
      <w:rPr>
        <w:rFonts w:ascii="Courier New" w:hAnsi="Courier New" w:cs="Courier New" w:hint="default"/>
        <w:b/>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64C32"/>
    <w:multiLevelType w:val="hybridMultilevel"/>
    <w:tmpl w:val="A2844E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67141"/>
    <w:multiLevelType w:val="hybridMultilevel"/>
    <w:tmpl w:val="9CA28A74"/>
    <w:lvl w:ilvl="0" w:tplc="EA86AB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B55AED"/>
    <w:multiLevelType w:val="hybridMultilevel"/>
    <w:tmpl w:val="0A36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460A1"/>
    <w:multiLevelType w:val="hybridMultilevel"/>
    <w:tmpl w:val="49D6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02B83"/>
    <w:multiLevelType w:val="multilevel"/>
    <w:tmpl w:val="E392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206FBE"/>
    <w:multiLevelType w:val="hybridMultilevel"/>
    <w:tmpl w:val="15FCB2F0"/>
    <w:numStyleLink w:val="ImportedStyle3"/>
  </w:abstractNum>
  <w:abstractNum w:abstractNumId="15" w15:restartNumberingAfterBreak="0">
    <w:nsid w:val="33D35E95"/>
    <w:multiLevelType w:val="hybridMultilevel"/>
    <w:tmpl w:val="90E2A1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1C4148"/>
    <w:multiLevelType w:val="hybridMultilevel"/>
    <w:tmpl w:val="E54C47E2"/>
    <w:numStyleLink w:val="ImportedStyle5"/>
  </w:abstractNum>
  <w:abstractNum w:abstractNumId="17" w15:restartNumberingAfterBreak="0">
    <w:nsid w:val="36A810AC"/>
    <w:multiLevelType w:val="hybridMultilevel"/>
    <w:tmpl w:val="B1103678"/>
    <w:lvl w:ilvl="0" w:tplc="1382A82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BF3D78"/>
    <w:multiLevelType w:val="hybridMultilevel"/>
    <w:tmpl w:val="C278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A63E4"/>
    <w:multiLevelType w:val="multilevel"/>
    <w:tmpl w:val="F60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0377A"/>
    <w:multiLevelType w:val="hybridMultilevel"/>
    <w:tmpl w:val="E54C47E2"/>
    <w:styleLink w:val="ImportedStyle5"/>
    <w:lvl w:ilvl="0" w:tplc="37D65D8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6A3D2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656F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0AC2E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2774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6C5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107D2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D2210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9AC20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E8548A"/>
    <w:multiLevelType w:val="hybridMultilevel"/>
    <w:tmpl w:val="631A5C34"/>
    <w:numStyleLink w:val="ImportedStyle4"/>
  </w:abstractNum>
  <w:abstractNum w:abstractNumId="22" w15:restartNumberingAfterBreak="0">
    <w:nsid w:val="410A54FC"/>
    <w:multiLevelType w:val="hybridMultilevel"/>
    <w:tmpl w:val="7BAC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AF01D9"/>
    <w:multiLevelType w:val="hybridMultilevel"/>
    <w:tmpl w:val="7C10D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B1820"/>
    <w:multiLevelType w:val="hybridMultilevel"/>
    <w:tmpl w:val="F6BA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67981"/>
    <w:multiLevelType w:val="hybridMultilevel"/>
    <w:tmpl w:val="4364CE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C7343C"/>
    <w:multiLevelType w:val="hybridMultilevel"/>
    <w:tmpl w:val="25D478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35C10"/>
    <w:multiLevelType w:val="hybridMultilevel"/>
    <w:tmpl w:val="382E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732B2B"/>
    <w:multiLevelType w:val="hybridMultilevel"/>
    <w:tmpl w:val="B984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BB4442"/>
    <w:multiLevelType w:val="hybridMultilevel"/>
    <w:tmpl w:val="A0D0F1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B64F7"/>
    <w:multiLevelType w:val="hybridMultilevel"/>
    <w:tmpl w:val="662A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AF2829"/>
    <w:multiLevelType w:val="hybridMultilevel"/>
    <w:tmpl w:val="E59A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A22C2"/>
    <w:multiLevelType w:val="hybridMultilevel"/>
    <w:tmpl w:val="BDBEC726"/>
    <w:lvl w:ilvl="0" w:tplc="DC2E586C">
      <w:start w:val="1"/>
      <w:numFmt w:val="decimal"/>
      <w:lvlText w:val="%1."/>
      <w:lvlJc w:val="left"/>
      <w:pPr>
        <w:ind w:left="360" w:hanging="360"/>
      </w:pPr>
      <w:rPr>
        <w:rFonts w:cs="Times New Roman" w:hint="default"/>
        <w:b/>
        <w:color w:val="0D0D0D"/>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3" w15:restartNumberingAfterBreak="0">
    <w:nsid w:val="57687718"/>
    <w:multiLevelType w:val="hybridMultilevel"/>
    <w:tmpl w:val="631A5C34"/>
    <w:styleLink w:val="ImportedStyle4"/>
    <w:lvl w:ilvl="0" w:tplc="A3D6DA88">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A89FE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12B4E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449B3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76D12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7E7C2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AC3F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62EEC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B8FB2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87964D2"/>
    <w:multiLevelType w:val="hybridMultilevel"/>
    <w:tmpl w:val="425C2F7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86D9A"/>
    <w:multiLevelType w:val="hybridMultilevel"/>
    <w:tmpl w:val="E9D08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D349A1"/>
    <w:multiLevelType w:val="hybridMultilevel"/>
    <w:tmpl w:val="F6A2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FD1682"/>
    <w:multiLevelType w:val="hybridMultilevel"/>
    <w:tmpl w:val="EB4429C6"/>
    <w:lvl w:ilvl="0" w:tplc="62F83E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763320"/>
    <w:multiLevelType w:val="hybridMultilevel"/>
    <w:tmpl w:val="437C401E"/>
    <w:lvl w:ilvl="0" w:tplc="ACE2E378">
      <w:start w:val="1"/>
      <w:numFmt w:val="low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C2491E"/>
    <w:multiLevelType w:val="hybridMultilevel"/>
    <w:tmpl w:val="A9940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C471F"/>
    <w:multiLevelType w:val="hybridMultilevel"/>
    <w:tmpl w:val="CA6C3AD0"/>
    <w:lvl w:ilvl="0" w:tplc="08090005">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F693E"/>
    <w:multiLevelType w:val="multilevel"/>
    <w:tmpl w:val="6AE2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98772C"/>
    <w:multiLevelType w:val="hybridMultilevel"/>
    <w:tmpl w:val="4888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728D0"/>
    <w:multiLevelType w:val="hybridMultilevel"/>
    <w:tmpl w:val="CA5A70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F0913"/>
    <w:multiLevelType w:val="hybridMultilevel"/>
    <w:tmpl w:val="A516A768"/>
    <w:lvl w:ilvl="0" w:tplc="05AE1E86">
      <w:start w:val="1"/>
      <w:numFmt w:val="lowerRoman"/>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41C264D"/>
    <w:multiLevelType w:val="hybridMultilevel"/>
    <w:tmpl w:val="35348F54"/>
    <w:styleLink w:val="ImportedStyle2"/>
    <w:lvl w:ilvl="0" w:tplc="ECC4A54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D0D388">
      <w:start w:val="1"/>
      <w:numFmt w:val="bullet"/>
      <w:lvlText w:val="o"/>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9A801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3A1FC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1EC1DC">
      <w:start w:val="1"/>
      <w:numFmt w:val="bullet"/>
      <w:lvlText w:val="o"/>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05BCC">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DCD71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22C22">
      <w:start w:val="1"/>
      <w:numFmt w:val="bullet"/>
      <w:lvlText w:val="o"/>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1ED9CE">
      <w:start w:val="1"/>
      <w:numFmt w:val="bullet"/>
      <w:lvlText w:val="▪"/>
      <w:lvlJc w:val="left"/>
      <w:pPr>
        <w:ind w:left="75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EE60702"/>
    <w:multiLevelType w:val="hybridMultilevel"/>
    <w:tmpl w:val="24620DD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54342">
    <w:abstractNumId w:val="43"/>
  </w:num>
  <w:num w:numId="2" w16cid:durableId="1497920243">
    <w:abstractNumId w:val="34"/>
  </w:num>
  <w:num w:numId="3" w16cid:durableId="328753943">
    <w:abstractNumId w:val="26"/>
  </w:num>
  <w:num w:numId="4" w16cid:durableId="998120933">
    <w:abstractNumId w:val="8"/>
  </w:num>
  <w:num w:numId="5" w16cid:durableId="462505110">
    <w:abstractNumId w:val="10"/>
  </w:num>
  <w:num w:numId="6" w16cid:durableId="1757900412">
    <w:abstractNumId w:val="17"/>
  </w:num>
  <w:num w:numId="7" w16cid:durableId="1352489962">
    <w:abstractNumId w:val="7"/>
  </w:num>
  <w:num w:numId="8" w16cid:durableId="1552572733">
    <w:abstractNumId w:val="9"/>
  </w:num>
  <w:num w:numId="9" w16cid:durableId="1062555829">
    <w:abstractNumId w:val="1"/>
  </w:num>
  <w:num w:numId="10" w16cid:durableId="2046830874">
    <w:abstractNumId w:val="27"/>
  </w:num>
  <w:num w:numId="11" w16cid:durableId="2063628009">
    <w:abstractNumId w:val="40"/>
  </w:num>
  <w:num w:numId="12" w16cid:durableId="645086700">
    <w:abstractNumId w:val="23"/>
  </w:num>
  <w:num w:numId="13" w16cid:durableId="1500002388">
    <w:abstractNumId w:val="44"/>
  </w:num>
  <w:num w:numId="14" w16cid:durableId="494298906">
    <w:abstractNumId w:val="25"/>
  </w:num>
  <w:num w:numId="15" w16cid:durableId="676351120">
    <w:abstractNumId w:val="38"/>
  </w:num>
  <w:num w:numId="16" w16cid:durableId="1725717367">
    <w:abstractNumId w:val="39"/>
  </w:num>
  <w:num w:numId="17" w16cid:durableId="1001618770">
    <w:abstractNumId w:val="28"/>
  </w:num>
  <w:num w:numId="18" w16cid:durableId="328143108">
    <w:abstractNumId w:val="36"/>
  </w:num>
  <w:num w:numId="19" w16cid:durableId="92016572">
    <w:abstractNumId w:val="45"/>
  </w:num>
  <w:num w:numId="20" w16cid:durableId="1581520359">
    <w:abstractNumId w:val="0"/>
  </w:num>
  <w:num w:numId="21" w16cid:durableId="1724676968">
    <w:abstractNumId w:val="4"/>
  </w:num>
  <w:num w:numId="22" w16cid:durableId="218831858">
    <w:abstractNumId w:val="14"/>
  </w:num>
  <w:num w:numId="23" w16cid:durableId="1281381800">
    <w:abstractNumId w:val="33"/>
  </w:num>
  <w:num w:numId="24" w16cid:durableId="1446584977">
    <w:abstractNumId w:val="21"/>
  </w:num>
  <w:num w:numId="25" w16cid:durableId="1482891964">
    <w:abstractNumId w:val="12"/>
  </w:num>
  <w:num w:numId="26" w16cid:durableId="1045831969">
    <w:abstractNumId w:val="20"/>
  </w:num>
  <w:num w:numId="27" w16cid:durableId="862939373">
    <w:abstractNumId w:val="16"/>
  </w:num>
  <w:num w:numId="28" w16cid:durableId="166796621">
    <w:abstractNumId w:val="29"/>
  </w:num>
  <w:num w:numId="29" w16cid:durableId="1691685503">
    <w:abstractNumId w:val="5"/>
  </w:num>
  <w:num w:numId="30" w16cid:durableId="301932909">
    <w:abstractNumId w:val="32"/>
  </w:num>
  <w:num w:numId="31" w16cid:durableId="127171170">
    <w:abstractNumId w:val="11"/>
  </w:num>
  <w:num w:numId="32" w16cid:durableId="1320571089">
    <w:abstractNumId w:val="35"/>
  </w:num>
  <w:num w:numId="33" w16cid:durableId="162353735">
    <w:abstractNumId w:val="22"/>
  </w:num>
  <w:num w:numId="34" w16cid:durableId="149252033">
    <w:abstractNumId w:val="6"/>
  </w:num>
  <w:num w:numId="35" w16cid:durableId="505904561">
    <w:abstractNumId w:val="18"/>
  </w:num>
  <w:num w:numId="36" w16cid:durableId="1419329207">
    <w:abstractNumId w:val="15"/>
  </w:num>
  <w:num w:numId="37" w16cid:durableId="884372742">
    <w:abstractNumId w:val="24"/>
  </w:num>
  <w:num w:numId="38" w16cid:durableId="2091388981">
    <w:abstractNumId w:val="42"/>
  </w:num>
  <w:num w:numId="39" w16cid:durableId="1800299935">
    <w:abstractNumId w:val="31"/>
  </w:num>
  <w:num w:numId="40" w16cid:durableId="1073359220">
    <w:abstractNumId w:val="3"/>
  </w:num>
  <w:num w:numId="41" w16cid:durableId="1469593154">
    <w:abstractNumId w:val="37"/>
  </w:num>
  <w:num w:numId="42" w16cid:durableId="106243377">
    <w:abstractNumId w:val="46"/>
  </w:num>
  <w:num w:numId="43" w16cid:durableId="550272110">
    <w:abstractNumId w:val="30"/>
  </w:num>
  <w:num w:numId="44" w16cid:durableId="215243211">
    <w:abstractNumId w:val="2"/>
  </w:num>
  <w:num w:numId="45" w16cid:durableId="1081410756">
    <w:abstractNumId w:val="19"/>
  </w:num>
  <w:num w:numId="46" w16cid:durableId="678122852">
    <w:abstractNumId w:val="41"/>
  </w:num>
  <w:num w:numId="47" w16cid:durableId="618531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5B"/>
    <w:rsid w:val="00004B5B"/>
    <w:rsid w:val="00005BCA"/>
    <w:rsid w:val="0001160F"/>
    <w:rsid w:val="000230A4"/>
    <w:rsid w:val="0002428D"/>
    <w:rsid w:val="00034EC9"/>
    <w:rsid w:val="000419BC"/>
    <w:rsid w:val="00042A45"/>
    <w:rsid w:val="000504BF"/>
    <w:rsid w:val="000513EA"/>
    <w:rsid w:val="00054344"/>
    <w:rsid w:val="00054B26"/>
    <w:rsid w:val="00061A93"/>
    <w:rsid w:val="00065585"/>
    <w:rsid w:val="00065B0F"/>
    <w:rsid w:val="00067E40"/>
    <w:rsid w:val="00071AE1"/>
    <w:rsid w:val="000751C1"/>
    <w:rsid w:val="00081034"/>
    <w:rsid w:val="00087A1D"/>
    <w:rsid w:val="00090B33"/>
    <w:rsid w:val="000919ED"/>
    <w:rsid w:val="0009779D"/>
    <w:rsid w:val="000A464D"/>
    <w:rsid w:val="000A479A"/>
    <w:rsid w:val="000A5D1E"/>
    <w:rsid w:val="000C3758"/>
    <w:rsid w:val="000C7058"/>
    <w:rsid w:val="000E03ED"/>
    <w:rsid w:val="000F05EA"/>
    <w:rsid w:val="000F3384"/>
    <w:rsid w:val="000F358D"/>
    <w:rsid w:val="000F6862"/>
    <w:rsid w:val="001000A7"/>
    <w:rsid w:val="00104496"/>
    <w:rsid w:val="001179CB"/>
    <w:rsid w:val="0013053D"/>
    <w:rsid w:val="0013505C"/>
    <w:rsid w:val="00136347"/>
    <w:rsid w:val="00141D48"/>
    <w:rsid w:val="00147A65"/>
    <w:rsid w:val="001559F5"/>
    <w:rsid w:val="001623D8"/>
    <w:rsid w:val="00163488"/>
    <w:rsid w:val="00173CD0"/>
    <w:rsid w:val="001761C3"/>
    <w:rsid w:val="0017680A"/>
    <w:rsid w:val="00180C0D"/>
    <w:rsid w:val="0018308C"/>
    <w:rsid w:val="00187D79"/>
    <w:rsid w:val="001A1570"/>
    <w:rsid w:val="001A19B9"/>
    <w:rsid w:val="001A2C0B"/>
    <w:rsid w:val="001A4513"/>
    <w:rsid w:val="001A51A7"/>
    <w:rsid w:val="001A710C"/>
    <w:rsid w:val="001B45F9"/>
    <w:rsid w:val="001B63F6"/>
    <w:rsid w:val="001C7D7E"/>
    <w:rsid w:val="001D666B"/>
    <w:rsid w:val="001E3315"/>
    <w:rsid w:val="001E4C38"/>
    <w:rsid w:val="00202C81"/>
    <w:rsid w:val="00206085"/>
    <w:rsid w:val="0020693F"/>
    <w:rsid w:val="00212219"/>
    <w:rsid w:val="00215CEA"/>
    <w:rsid w:val="00223487"/>
    <w:rsid w:val="002407EF"/>
    <w:rsid w:val="00241AED"/>
    <w:rsid w:val="002420BF"/>
    <w:rsid w:val="00244508"/>
    <w:rsid w:val="00250637"/>
    <w:rsid w:val="002544E9"/>
    <w:rsid w:val="0026078F"/>
    <w:rsid w:val="002617D0"/>
    <w:rsid w:val="00262B8D"/>
    <w:rsid w:val="002655AD"/>
    <w:rsid w:val="00266906"/>
    <w:rsid w:val="0026735F"/>
    <w:rsid w:val="00273D2C"/>
    <w:rsid w:val="00274D98"/>
    <w:rsid w:val="00286B25"/>
    <w:rsid w:val="002A0049"/>
    <w:rsid w:val="002A1EF1"/>
    <w:rsid w:val="002B0854"/>
    <w:rsid w:val="002B0ADC"/>
    <w:rsid w:val="002B3528"/>
    <w:rsid w:val="002B68B5"/>
    <w:rsid w:val="002C2B71"/>
    <w:rsid w:val="002C70ED"/>
    <w:rsid w:val="002D4E5A"/>
    <w:rsid w:val="002E068C"/>
    <w:rsid w:val="002E438D"/>
    <w:rsid w:val="002E74CE"/>
    <w:rsid w:val="002F23CA"/>
    <w:rsid w:val="002F3FB6"/>
    <w:rsid w:val="00301645"/>
    <w:rsid w:val="00301E8C"/>
    <w:rsid w:val="003116C8"/>
    <w:rsid w:val="0031514B"/>
    <w:rsid w:val="00321A6D"/>
    <w:rsid w:val="00325016"/>
    <w:rsid w:val="00325E1D"/>
    <w:rsid w:val="00326183"/>
    <w:rsid w:val="00327F2C"/>
    <w:rsid w:val="003338C0"/>
    <w:rsid w:val="00345D78"/>
    <w:rsid w:val="003528FF"/>
    <w:rsid w:val="00353C34"/>
    <w:rsid w:val="00354B50"/>
    <w:rsid w:val="00361E80"/>
    <w:rsid w:val="00364AE5"/>
    <w:rsid w:val="00367099"/>
    <w:rsid w:val="00372CD4"/>
    <w:rsid w:val="00376FF1"/>
    <w:rsid w:val="00381D80"/>
    <w:rsid w:val="003847BE"/>
    <w:rsid w:val="00384D10"/>
    <w:rsid w:val="00390F86"/>
    <w:rsid w:val="00392435"/>
    <w:rsid w:val="00394BA2"/>
    <w:rsid w:val="003957F3"/>
    <w:rsid w:val="003A135F"/>
    <w:rsid w:val="003A18C7"/>
    <w:rsid w:val="003A26AF"/>
    <w:rsid w:val="003A2AFA"/>
    <w:rsid w:val="003A4407"/>
    <w:rsid w:val="003A7E4E"/>
    <w:rsid w:val="003B1C96"/>
    <w:rsid w:val="003C3BF1"/>
    <w:rsid w:val="003C53DE"/>
    <w:rsid w:val="003E2318"/>
    <w:rsid w:val="003E24D2"/>
    <w:rsid w:val="003E3670"/>
    <w:rsid w:val="0041256C"/>
    <w:rsid w:val="00421557"/>
    <w:rsid w:val="00422CDF"/>
    <w:rsid w:val="00436504"/>
    <w:rsid w:val="00440C4E"/>
    <w:rsid w:val="00444435"/>
    <w:rsid w:val="00455C98"/>
    <w:rsid w:val="004562AB"/>
    <w:rsid w:val="004606EF"/>
    <w:rsid w:val="00470ADB"/>
    <w:rsid w:val="00480AA8"/>
    <w:rsid w:val="0048199F"/>
    <w:rsid w:val="004824B3"/>
    <w:rsid w:val="004931F3"/>
    <w:rsid w:val="00493DB1"/>
    <w:rsid w:val="004972CC"/>
    <w:rsid w:val="004A2088"/>
    <w:rsid w:val="004A62D5"/>
    <w:rsid w:val="004A6E17"/>
    <w:rsid w:val="004B1CCF"/>
    <w:rsid w:val="004B5F53"/>
    <w:rsid w:val="004C70FC"/>
    <w:rsid w:val="004D4930"/>
    <w:rsid w:val="004D6C22"/>
    <w:rsid w:val="004E112A"/>
    <w:rsid w:val="004E4F09"/>
    <w:rsid w:val="004E57A9"/>
    <w:rsid w:val="004F2836"/>
    <w:rsid w:val="004F7E82"/>
    <w:rsid w:val="0050192D"/>
    <w:rsid w:val="00505A0C"/>
    <w:rsid w:val="0051040E"/>
    <w:rsid w:val="0051535B"/>
    <w:rsid w:val="00521BB7"/>
    <w:rsid w:val="005243FF"/>
    <w:rsid w:val="00526670"/>
    <w:rsid w:val="00526D57"/>
    <w:rsid w:val="00530091"/>
    <w:rsid w:val="0053049D"/>
    <w:rsid w:val="00536396"/>
    <w:rsid w:val="00547DF8"/>
    <w:rsid w:val="00550034"/>
    <w:rsid w:val="0055158A"/>
    <w:rsid w:val="00557134"/>
    <w:rsid w:val="00566E9F"/>
    <w:rsid w:val="005708D3"/>
    <w:rsid w:val="005720D9"/>
    <w:rsid w:val="00574488"/>
    <w:rsid w:val="00576246"/>
    <w:rsid w:val="00576271"/>
    <w:rsid w:val="0057791B"/>
    <w:rsid w:val="00581049"/>
    <w:rsid w:val="005858D1"/>
    <w:rsid w:val="005A23AF"/>
    <w:rsid w:val="005A697A"/>
    <w:rsid w:val="005B06C6"/>
    <w:rsid w:val="005B198B"/>
    <w:rsid w:val="005B3F13"/>
    <w:rsid w:val="005B5046"/>
    <w:rsid w:val="005B737B"/>
    <w:rsid w:val="005C08E5"/>
    <w:rsid w:val="005C6EE0"/>
    <w:rsid w:val="005C7D65"/>
    <w:rsid w:val="005D0A04"/>
    <w:rsid w:val="005D2280"/>
    <w:rsid w:val="005D4540"/>
    <w:rsid w:val="005D65F6"/>
    <w:rsid w:val="005E2645"/>
    <w:rsid w:val="005F0100"/>
    <w:rsid w:val="005F035E"/>
    <w:rsid w:val="005F6CFF"/>
    <w:rsid w:val="00605E81"/>
    <w:rsid w:val="00613B16"/>
    <w:rsid w:val="00617547"/>
    <w:rsid w:val="00617F9B"/>
    <w:rsid w:val="0062461E"/>
    <w:rsid w:val="00630626"/>
    <w:rsid w:val="00630D31"/>
    <w:rsid w:val="00632A19"/>
    <w:rsid w:val="0063423E"/>
    <w:rsid w:val="0064121C"/>
    <w:rsid w:val="00641235"/>
    <w:rsid w:val="00641D82"/>
    <w:rsid w:val="00650A76"/>
    <w:rsid w:val="00653288"/>
    <w:rsid w:val="006602A3"/>
    <w:rsid w:val="00673444"/>
    <w:rsid w:val="00682835"/>
    <w:rsid w:val="00690C17"/>
    <w:rsid w:val="00690DAA"/>
    <w:rsid w:val="00693D16"/>
    <w:rsid w:val="006A2942"/>
    <w:rsid w:val="006A2C5D"/>
    <w:rsid w:val="006A34FD"/>
    <w:rsid w:val="006A7FDC"/>
    <w:rsid w:val="006B01A3"/>
    <w:rsid w:val="006B40A2"/>
    <w:rsid w:val="006B767E"/>
    <w:rsid w:val="006D0BF8"/>
    <w:rsid w:val="006E4882"/>
    <w:rsid w:val="006F3D40"/>
    <w:rsid w:val="00702536"/>
    <w:rsid w:val="0070285C"/>
    <w:rsid w:val="00705DB8"/>
    <w:rsid w:val="007074B0"/>
    <w:rsid w:val="00717E1A"/>
    <w:rsid w:val="00722989"/>
    <w:rsid w:val="007276B9"/>
    <w:rsid w:val="0073755E"/>
    <w:rsid w:val="00742180"/>
    <w:rsid w:val="007456FA"/>
    <w:rsid w:val="0075311D"/>
    <w:rsid w:val="00757326"/>
    <w:rsid w:val="007574DE"/>
    <w:rsid w:val="00762C1C"/>
    <w:rsid w:val="00762E41"/>
    <w:rsid w:val="00772B55"/>
    <w:rsid w:val="00774872"/>
    <w:rsid w:val="007848D0"/>
    <w:rsid w:val="00791439"/>
    <w:rsid w:val="00794826"/>
    <w:rsid w:val="007A1F7A"/>
    <w:rsid w:val="007A327D"/>
    <w:rsid w:val="007A373A"/>
    <w:rsid w:val="007A57F2"/>
    <w:rsid w:val="007A62D1"/>
    <w:rsid w:val="007A780D"/>
    <w:rsid w:val="007B08F8"/>
    <w:rsid w:val="007B308A"/>
    <w:rsid w:val="007B4568"/>
    <w:rsid w:val="007D0F30"/>
    <w:rsid w:val="007D72FA"/>
    <w:rsid w:val="00812F65"/>
    <w:rsid w:val="0081357E"/>
    <w:rsid w:val="00816051"/>
    <w:rsid w:val="0082152F"/>
    <w:rsid w:val="00825577"/>
    <w:rsid w:val="00827C66"/>
    <w:rsid w:val="00840418"/>
    <w:rsid w:val="00842CB7"/>
    <w:rsid w:val="0085390D"/>
    <w:rsid w:val="00857900"/>
    <w:rsid w:val="00881A56"/>
    <w:rsid w:val="0088747B"/>
    <w:rsid w:val="00890AF8"/>
    <w:rsid w:val="008962C9"/>
    <w:rsid w:val="008A1074"/>
    <w:rsid w:val="008A3CBB"/>
    <w:rsid w:val="008A514E"/>
    <w:rsid w:val="008B086A"/>
    <w:rsid w:val="008B2EB4"/>
    <w:rsid w:val="008C21EB"/>
    <w:rsid w:val="008C3C22"/>
    <w:rsid w:val="008D16A6"/>
    <w:rsid w:val="008E30E0"/>
    <w:rsid w:val="008E64E1"/>
    <w:rsid w:val="00900D10"/>
    <w:rsid w:val="00904678"/>
    <w:rsid w:val="009060D9"/>
    <w:rsid w:val="009069A5"/>
    <w:rsid w:val="00911BCE"/>
    <w:rsid w:val="00920070"/>
    <w:rsid w:val="00921B31"/>
    <w:rsid w:val="009228C6"/>
    <w:rsid w:val="009257D9"/>
    <w:rsid w:val="00925DA0"/>
    <w:rsid w:val="00926D42"/>
    <w:rsid w:val="00932940"/>
    <w:rsid w:val="00932E11"/>
    <w:rsid w:val="00947F49"/>
    <w:rsid w:val="00950792"/>
    <w:rsid w:val="00956B4E"/>
    <w:rsid w:val="0098229A"/>
    <w:rsid w:val="00985743"/>
    <w:rsid w:val="009A0E43"/>
    <w:rsid w:val="009A47CF"/>
    <w:rsid w:val="009A5367"/>
    <w:rsid w:val="009B4D5F"/>
    <w:rsid w:val="009B72B9"/>
    <w:rsid w:val="009E55BB"/>
    <w:rsid w:val="009E58B7"/>
    <w:rsid w:val="009E62C3"/>
    <w:rsid w:val="009F0901"/>
    <w:rsid w:val="009F78E3"/>
    <w:rsid w:val="00A0415F"/>
    <w:rsid w:val="00A046CC"/>
    <w:rsid w:val="00A04780"/>
    <w:rsid w:val="00A12B02"/>
    <w:rsid w:val="00A132A4"/>
    <w:rsid w:val="00A20BDF"/>
    <w:rsid w:val="00A22B73"/>
    <w:rsid w:val="00A258FF"/>
    <w:rsid w:val="00A27BFE"/>
    <w:rsid w:val="00A31C00"/>
    <w:rsid w:val="00A3528E"/>
    <w:rsid w:val="00A44250"/>
    <w:rsid w:val="00A4645F"/>
    <w:rsid w:val="00A505F6"/>
    <w:rsid w:val="00A571BC"/>
    <w:rsid w:val="00A62C4C"/>
    <w:rsid w:val="00A63F78"/>
    <w:rsid w:val="00A67353"/>
    <w:rsid w:val="00A677DD"/>
    <w:rsid w:val="00A7192D"/>
    <w:rsid w:val="00A74920"/>
    <w:rsid w:val="00A77A21"/>
    <w:rsid w:val="00A806E2"/>
    <w:rsid w:val="00A81F1A"/>
    <w:rsid w:val="00A85817"/>
    <w:rsid w:val="00A87FCC"/>
    <w:rsid w:val="00A94476"/>
    <w:rsid w:val="00A96697"/>
    <w:rsid w:val="00AA6288"/>
    <w:rsid w:val="00AB2E81"/>
    <w:rsid w:val="00AB69E0"/>
    <w:rsid w:val="00AC453E"/>
    <w:rsid w:val="00AD2926"/>
    <w:rsid w:val="00AD7AAE"/>
    <w:rsid w:val="00AE0745"/>
    <w:rsid w:val="00AE1D10"/>
    <w:rsid w:val="00AE5B87"/>
    <w:rsid w:val="00AE6C9E"/>
    <w:rsid w:val="00AF2EA1"/>
    <w:rsid w:val="00AF5319"/>
    <w:rsid w:val="00AF68BA"/>
    <w:rsid w:val="00AF6E94"/>
    <w:rsid w:val="00B02F7A"/>
    <w:rsid w:val="00B101EA"/>
    <w:rsid w:val="00B11FFC"/>
    <w:rsid w:val="00B16964"/>
    <w:rsid w:val="00B226C6"/>
    <w:rsid w:val="00B23EC8"/>
    <w:rsid w:val="00B26C94"/>
    <w:rsid w:val="00B278C8"/>
    <w:rsid w:val="00B33D6F"/>
    <w:rsid w:val="00B35A0B"/>
    <w:rsid w:val="00B42410"/>
    <w:rsid w:val="00B458DC"/>
    <w:rsid w:val="00B46A6B"/>
    <w:rsid w:val="00B472DB"/>
    <w:rsid w:val="00B517ED"/>
    <w:rsid w:val="00B622F4"/>
    <w:rsid w:val="00B7078B"/>
    <w:rsid w:val="00B76359"/>
    <w:rsid w:val="00B770BB"/>
    <w:rsid w:val="00B810D0"/>
    <w:rsid w:val="00B8207C"/>
    <w:rsid w:val="00B85E8B"/>
    <w:rsid w:val="00BA1667"/>
    <w:rsid w:val="00BA205F"/>
    <w:rsid w:val="00BA728E"/>
    <w:rsid w:val="00BB1160"/>
    <w:rsid w:val="00BB2F46"/>
    <w:rsid w:val="00BB2FF5"/>
    <w:rsid w:val="00BB481B"/>
    <w:rsid w:val="00BB6D7A"/>
    <w:rsid w:val="00BD147E"/>
    <w:rsid w:val="00BD1C99"/>
    <w:rsid w:val="00BD539F"/>
    <w:rsid w:val="00BD6C22"/>
    <w:rsid w:val="00BE0916"/>
    <w:rsid w:val="00BE0C24"/>
    <w:rsid w:val="00BE6572"/>
    <w:rsid w:val="00C06678"/>
    <w:rsid w:val="00C228A8"/>
    <w:rsid w:val="00C24A21"/>
    <w:rsid w:val="00C24CD8"/>
    <w:rsid w:val="00C26410"/>
    <w:rsid w:val="00C32AE3"/>
    <w:rsid w:val="00C51E62"/>
    <w:rsid w:val="00C52EF8"/>
    <w:rsid w:val="00C53A27"/>
    <w:rsid w:val="00C569EB"/>
    <w:rsid w:val="00C61427"/>
    <w:rsid w:val="00C616EE"/>
    <w:rsid w:val="00C633A2"/>
    <w:rsid w:val="00C6543A"/>
    <w:rsid w:val="00C7322C"/>
    <w:rsid w:val="00C75C00"/>
    <w:rsid w:val="00C75F78"/>
    <w:rsid w:val="00C77528"/>
    <w:rsid w:val="00C82FD4"/>
    <w:rsid w:val="00C8547C"/>
    <w:rsid w:val="00C862A7"/>
    <w:rsid w:val="00C87AEC"/>
    <w:rsid w:val="00C90FDA"/>
    <w:rsid w:val="00C92787"/>
    <w:rsid w:val="00CA0C88"/>
    <w:rsid w:val="00CA748D"/>
    <w:rsid w:val="00CB1F8B"/>
    <w:rsid w:val="00CB379E"/>
    <w:rsid w:val="00CB3BFE"/>
    <w:rsid w:val="00CB556B"/>
    <w:rsid w:val="00CC1FF6"/>
    <w:rsid w:val="00CD5BF4"/>
    <w:rsid w:val="00CE160F"/>
    <w:rsid w:val="00CE3358"/>
    <w:rsid w:val="00D00F76"/>
    <w:rsid w:val="00D034C8"/>
    <w:rsid w:val="00D038EB"/>
    <w:rsid w:val="00D1382D"/>
    <w:rsid w:val="00D21155"/>
    <w:rsid w:val="00D34A8C"/>
    <w:rsid w:val="00D34CF7"/>
    <w:rsid w:val="00D35876"/>
    <w:rsid w:val="00D50A76"/>
    <w:rsid w:val="00D5576D"/>
    <w:rsid w:val="00D55BE2"/>
    <w:rsid w:val="00D5709B"/>
    <w:rsid w:val="00D60B2B"/>
    <w:rsid w:val="00D7402A"/>
    <w:rsid w:val="00D87D69"/>
    <w:rsid w:val="00D93438"/>
    <w:rsid w:val="00D93929"/>
    <w:rsid w:val="00DB23EF"/>
    <w:rsid w:val="00DB322D"/>
    <w:rsid w:val="00DB5B60"/>
    <w:rsid w:val="00DB725E"/>
    <w:rsid w:val="00DC3824"/>
    <w:rsid w:val="00DD682F"/>
    <w:rsid w:val="00DE1C32"/>
    <w:rsid w:val="00DF0A47"/>
    <w:rsid w:val="00DF5DC8"/>
    <w:rsid w:val="00E0176A"/>
    <w:rsid w:val="00E03E12"/>
    <w:rsid w:val="00E05537"/>
    <w:rsid w:val="00E06CDF"/>
    <w:rsid w:val="00E1328F"/>
    <w:rsid w:val="00E13D2D"/>
    <w:rsid w:val="00E14B00"/>
    <w:rsid w:val="00E20FA9"/>
    <w:rsid w:val="00E2146B"/>
    <w:rsid w:val="00E21D2B"/>
    <w:rsid w:val="00E2422B"/>
    <w:rsid w:val="00E248F1"/>
    <w:rsid w:val="00E2513A"/>
    <w:rsid w:val="00E261E2"/>
    <w:rsid w:val="00E3511E"/>
    <w:rsid w:val="00E35E5C"/>
    <w:rsid w:val="00E408C1"/>
    <w:rsid w:val="00E438E9"/>
    <w:rsid w:val="00E47146"/>
    <w:rsid w:val="00E5124F"/>
    <w:rsid w:val="00E54FD6"/>
    <w:rsid w:val="00E60E74"/>
    <w:rsid w:val="00E619F8"/>
    <w:rsid w:val="00E66367"/>
    <w:rsid w:val="00E722EC"/>
    <w:rsid w:val="00E75266"/>
    <w:rsid w:val="00E760A4"/>
    <w:rsid w:val="00E85D1F"/>
    <w:rsid w:val="00E865D4"/>
    <w:rsid w:val="00E87E32"/>
    <w:rsid w:val="00E91D03"/>
    <w:rsid w:val="00E95992"/>
    <w:rsid w:val="00E97700"/>
    <w:rsid w:val="00EA1374"/>
    <w:rsid w:val="00EB4124"/>
    <w:rsid w:val="00ED2D9D"/>
    <w:rsid w:val="00EE3B88"/>
    <w:rsid w:val="00EE3E28"/>
    <w:rsid w:val="00EF6FA9"/>
    <w:rsid w:val="00EF6FE8"/>
    <w:rsid w:val="00F02BC1"/>
    <w:rsid w:val="00F033FD"/>
    <w:rsid w:val="00F217F0"/>
    <w:rsid w:val="00F2403A"/>
    <w:rsid w:val="00F3609F"/>
    <w:rsid w:val="00F41942"/>
    <w:rsid w:val="00F43491"/>
    <w:rsid w:val="00F4572F"/>
    <w:rsid w:val="00F5580D"/>
    <w:rsid w:val="00F55C52"/>
    <w:rsid w:val="00F569D1"/>
    <w:rsid w:val="00F625AE"/>
    <w:rsid w:val="00F66DAA"/>
    <w:rsid w:val="00F73D26"/>
    <w:rsid w:val="00F84808"/>
    <w:rsid w:val="00F90104"/>
    <w:rsid w:val="00F906C8"/>
    <w:rsid w:val="00F90C8C"/>
    <w:rsid w:val="00FA7CF8"/>
    <w:rsid w:val="00FB6DAA"/>
    <w:rsid w:val="00FC318F"/>
    <w:rsid w:val="00FC5EEA"/>
    <w:rsid w:val="00FD2659"/>
    <w:rsid w:val="00FD3A73"/>
    <w:rsid w:val="00FD426A"/>
    <w:rsid w:val="00FE31ED"/>
    <w:rsid w:val="00FE3283"/>
    <w:rsid w:val="00FE61F7"/>
    <w:rsid w:val="00FF1908"/>
    <w:rsid w:val="00FF2F2C"/>
    <w:rsid w:val="00FF3146"/>
    <w:rsid w:val="4F63A121"/>
    <w:rsid w:val="5B0FD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height-percent:200;mso-width-relative:margin;mso-height-relative:margin" fillcolor="white">
      <v:fill color="white"/>
      <v:textbox style="mso-fit-shape-to-text:t"/>
    </o:shapedefaults>
    <o:shapelayout v:ext="edit">
      <o:idmap v:ext="edit" data="1"/>
    </o:shapelayout>
  </w:shapeDefaults>
  <w:decimalSymbol w:val="."/>
  <w:listSeparator w:val=","/>
  <w14:docId w14:val="22C2D2FB"/>
  <w15:chartTrackingRefBased/>
  <w15:docId w15:val="{349957D6-76D9-DE42-8BB1-2A3AC9E3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E43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26183"/>
    <w:pPr>
      <w:keepNext/>
      <w:spacing w:before="240" w:after="60"/>
      <w:outlineLvl w:val="1"/>
    </w:pPr>
    <w:rPr>
      <w:rFonts w:asciiTheme="majorHAnsi" w:eastAsiaTheme="majorEastAsia" w:hAnsiTheme="majorHAnsi" w:cstheme="majorBidi"/>
      <w:b/>
      <w:bCs/>
      <w:i/>
      <w:iCs/>
      <w:sz w:val="28"/>
      <w:szCs w:val="28"/>
      <w:lang w:eastAsia="zh-CN"/>
    </w:rPr>
  </w:style>
  <w:style w:type="paragraph" w:styleId="Heading3">
    <w:name w:val="heading 3"/>
    <w:basedOn w:val="Normal"/>
    <w:next w:val="Normal"/>
    <w:link w:val="Heading3Char"/>
    <w:semiHidden/>
    <w:unhideWhenUsed/>
    <w:qFormat/>
    <w:rsid w:val="00526D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uiPriority w:val="34"/>
    <w:qFormat/>
    <w:pPr>
      <w:ind w:left="720"/>
    </w:pPr>
  </w:style>
  <w:style w:type="character" w:customStyle="1" w:styleId="shorttext">
    <w:name w:val="short_text"/>
  </w:style>
  <w:style w:type="character" w:customStyle="1" w:styleId="hps">
    <w:name w:val="hps"/>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4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F2403A"/>
    <w:rPr>
      <w:rFonts w:ascii="Cambria" w:hAnsi="Cambria"/>
      <w:color w:val="17365D"/>
      <w:spacing w:val="5"/>
      <w:kern w:val="28"/>
      <w:sz w:val="52"/>
      <w:szCs w:val="52"/>
      <w:lang w:eastAsia="en-US"/>
    </w:rPr>
  </w:style>
  <w:style w:type="paragraph" w:styleId="NoSpacing">
    <w:name w:val="No Spacing"/>
    <w:uiPriority w:val="1"/>
    <w:qFormat/>
    <w:rsid w:val="00F2403A"/>
    <w:rPr>
      <w:rFonts w:ascii="Calibri" w:eastAsia="Calibri" w:hAnsi="Calibri"/>
      <w:sz w:val="22"/>
      <w:szCs w:val="22"/>
      <w:lang w:eastAsia="en-US"/>
    </w:rPr>
  </w:style>
  <w:style w:type="paragraph" w:customStyle="1" w:styleId="BodyA">
    <w:name w:val="Body A"/>
    <w:rsid w:val="002407E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customStyle="1" w:styleId="MediumGrid1-Accent21">
    <w:name w:val="Medium Grid 1 - Accent 21"/>
    <w:rsid w:val="00CA0C88"/>
    <w:pPr>
      <w:pBdr>
        <w:top w:val="nil"/>
        <w:left w:val="nil"/>
        <w:bottom w:val="nil"/>
        <w:right w:val="nil"/>
        <w:between w:val="nil"/>
        <w:bar w:val="nil"/>
      </w:pBdr>
      <w:spacing w:after="200"/>
      <w:ind w:left="720"/>
    </w:pPr>
    <w:rPr>
      <w:rFonts w:ascii="Cambria" w:eastAsia="Cambria" w:hAnsi="Cambria" w:cs="Cambria"/>
      <w:color w:val="000000"/>
      <w:sz w:val="24"/>
      <w:szCs w:val="24"/>
      <w:u w:color="000000"/>
      <w:bdr w:val="nil"/>
      <w:lang w:val="en-US"/>
    </w:rPr>
  </w:style>
  <w:style w:type="numbering" w:customStyle="1" w:styleId="ImportedStyle2">
    <w:name w:val="Imported Style 2"/>
    <w:rsid w:val="00CA0C88"/>
    <w:pPr>
      <w:numPr>
        <w:numId w:val="19"/>
      </w:numPr>
    </w:pPr>
  </w:style>
  <w:style w:type="numbering" w:customStyle="1" w:styleId="ImportedStyle3">
    <w:name w:val="Imported Style 3"/>
    <w:rsid w:val="0057791B"/>
    <w:pPr>
      <w:numPr>
        <w:numId w:val="21"/>
      </w:numPr>
    </w:pPr>
  </w:style>
  <w:style w:type="numbering" w:customStyle="1" w:styleId="ImportedStyle4">
    <w:name w:val="Imported Style 4"/>
    <w:rsid w:val="0057791B"/>
    <w:pPr>
      <w:numPr>
        <w:numId w:val="23"/>
      </w:numPr>
    </w:pPr>
  </w:style>
  <w:style w:type="numbering" w:customStyle="1" w:styleId="ImportedStyle5">
    <w:name w:val="Imported Style 5"/>
    <w:rsid w:val="0057791B"/>
    <w:pPr>
      <w:numPr>
        <w:numId w:val="26"/>
      </w:numPr>
    </w:pPr>
  </w:style>
  <w:style w:type="paragraph" w:styleId="NormalWeb">
    <w:name w:val="Normal (Web)"/>
    <w:basedOn w:val="Normal"/>
    <w:uiPriority w:val="99"/>
    <w:unhideWhenUsed/>
    <w:rsid w:val="00354B50"/>
    <w:pPr>
      <w:spacing w:before="100" w:beforeAutospacing="1" w:after="100" w:afterAutospacing="1"/>
    </w:pPr>
  </w:style>
  <w:style w:type="character" w:styleId="Hyperlink">
    <w:name w:val="Hyperlink"/>
    <w:basedOn w:val="DefaultParagraphFont"/>
    <w:rsid w:val="00CB3BFE"/>
    <w:rPr>
      <w:color w:val="0563C1" w:themeColor="hyperlink"/>
      <w:u w:val="single"/>
    </w:rPr>
  </w:style>
  <w:style w:type="character" w:styleId="UnresolvedMention">
    <w:name w:val="Unresolved Mention"/>
    <w:basedOn w:val="DefaultParagraphFont"/>
    <w:uiPriority w:val="99"/>
    <w:semiHidden/>
    <w:unhideWhenUsed/>
    <w:rsid w:val="00CB3BFE"/>
    <w:rPr>
      <w:color w:val="605E5C"/>
      <w:shd w:val="clear" w:color="auto" w:fill="E1DFDD"/>
    </w:rPr>
  </w:style>
  <w:style w:type="paragraph" w:styleId="Header">
    <w:name w:val="header"/>
    <w:basedOn w:val="Normal"/>
    <w:link w:val="HeaderChar"/>
    <w:rsid w:val="00EF6FE8"/>
    <w:pPr>
      <w:tabs>
        <w:tab w:val="center" w:pos="4513"/>
        <w:tab w:val="right" w:pos="9026"/>
      </w:tabs>
    </w:pPr>
  </w:style>
  <w:style w:type="character" w:customStyle="1" w:styleId="HeaderChar">
    <w:name w:val="Header Char"/>
    <w:basedOn w:val="DefaultParagraphFont"/>
    <w:link w:val="Header"/>
    <w:rsid w:val="00EF6FE8"/>
    <w:rPr>
      <w:sz w:val="24"/>
      <w:szCs w:val="24"/>
    </w:rPr>
  </w:style>
  <w:style w:type="paragraph" w:styleId="Footer">
    <w:name w:val="footer"/>
    <w:basedOn w:val="Normal"/>
    <w:link w:val="FooterChar"/>
    <w:rsid w:val="00EF6FE8"/>
    <w:pPr>
      <w:tabs>
        <w:tab w:val="center" w:pos="4513"/>
        <w:tab w:val="right" w:pos="9026"/>
      </w:tabs>
    </w:pPr>
  </w:style>
  <w:style w:type="character" w:customStyle="1" w:styleId="FooterChar">
    <w:name w:val="Footer Char"/>
    <w:basedOn w:val="DefaultParagraphFont"/>
    <w:link w:val="Footer"/>
    <w:rsid w:val="00EF6FE8"/>
    <w:rPr>
      <w:sz w:val="24"/>
      <w:szCs w:val="24"/>
    </w:rPr>
  </w:style>
  <w:style w:type="paragraph" w:customStyle="1" w:styleId="paragraph">
    <w:name w:val="paragraph"/>
    <w:basedOn w:val="Normal"/>
    <w:rsid w:val="00774872"/>
    <w:pPr>
      <w:spacing w:before="100" w:beforeAutospacing="1" w:after="100" w:afterAutospacing="1"/>
    </w:pPr>
  </w:style>
  <w:style w:type="character" w:customStyle="1" w:styleId="normaltextrun">
    <w:name w:val="normaltextrun"/>
    <w:basedOn w:val="DefaultParagraphFont"/>
    <w:rsid w:val="00BE0C24"/>
  </w:style>
  <w:style w:type="character" w:customStyle="1" w:styleId="eop">
    <w:name w:val="eop"/>
    <w:basedOn w:val="DefaultParagraphFont"/>
    <w:rsid w:val="00BE0C24"/>
  </w:style>
  <w:style w:type="character" w:customStyle="1" w:styleId="Heading2Char">
    <w:name w:val="Heading 2 Char"/>
    <w:basedOn w:val="DefaultParagraphFont"/>
    <w:link w:val="Heading2"/>
    <w:rsid w:val="00326183"/>
    <w:rPr>
      <w:rFonts w:asciiTheme="majorHAnsi" w:eastAsiaTheme="majorEastAsia" w:hAnsiTheme="majorHAnsi" w:cstheme="majorBidi"/>
      <w:b/>
      <w:bCs/>
      <w:i/>
      <w:iCs/>
      <w:sz w:val="28"/>
      <w:szCs w:val="28"/>
      <w:lang w:eastAsia="zh-CN"/>
    </w:rPr>
  </w:style>
  <w:style w:type="paragraph" w:customStyle="1" w:styleId="TableRow">
    <w:name w:val="TableRow"/>
    <w:rsid w:val="00920070"/>
    <w:pPr>
      <w:suppressAutoHyphens/>
      <w:autoSpaceDN w:val="0"/>
      <w:spacing w:before="60" w:after="60"/>
      <w:ind w:left="57" w:right="57"/>
    </w:pPr>
    <w:rPr>
      <w:rFonts w:ascii="Arial" w:hAnsi="Arial"/>
      <w:color w:val="0D0D0D"/>
      <w:sz w:val="24"/>
      <w:szCs w:val="24"/>
    </w:rPr>
  </w:style>
  <w:style w:type="character" w:customStyle="1" w:styleId="Heading1Char">
    <w:name w:val="Heading 1 Char"/>
    <w:basedOn w:val="DefaultParagraphFont"/>
    <w:link w:val="Heading1"/>
    <w:rsid w:val="002E438D"/>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4562AB"/>
    <w:rPr>
      <w:sz w:val="24"/>
      <w:szCs w:val="24"/>
    </w:rPr>
  </w:style>
  <w:style w:type="paragraph" w:customStyle="1" w:styleId="TableHeader">
    <w:name w:val="TableHeader"/>
    <w:rsid w:val="0082152F"/>
    <w:pPr>
      <w:suppressAutoHyphens/>
      <w:autoSpaceDN w:val="0"/>
      <w:spacing w:before="60" w:after="60"/>
      <w:ind w:left="57" w:right="57"/>
      <w:jc w:val="center"/>
    </w:pPr>
    <w:rPr>
      <w:rFonts w:ascii="Arial" w:hAnsi="Arial"/>
      <w:b/>
      <w:color w:val="0D0D0D"/>
      <w:sz w:val="24"/>
      <w:szCs w:val="24"/>
    </w:rPr>
  </w:style>
  <w:style w:type="paragraph" w:customStyle="1" w:styleId="TableRowCentered">
    <w:name w:val="TableRowCentered"/>
    <w:basedOn w:val="TableRow"/>
    <w:rsid w:val="0082152F"/>
    <w:pPr>
      <w:jc w:val="center"/>
    </w:pPr>
    <w:rPr>
      <w:szCs w:val="20"/>
    </w:rPr>
  </w:style>
  <w:style w:type="character" w:customStyle="1" w:styleId="Heading3Char">
    <w:name w:val="Heading 3 Char"/>
    <w:basedOn w:val="DefaultParagraphFont"/>
    <w:link w:val="Heading3"/>
    <w:semiHidden/>
    <w:rsid w:val="00526D5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925">
      <w:bodyDiv w:val="1"/>
      <w:marLeft w:val="0"/>
      <w:marRight w:val="0"/>
      <w:marTop w:val="0"/>
      <w:marBottom w:val="0"/>
      <w:divBdr>
        <w:top w:val="none" w:sz="0" w:space="0" w:color="auto"/>
        <w:left w:val="none" w:sz="0" w:space="0" w:color="auto"/>
        <w:bottom w:val="none" w:sz="0" w:space="0" w:color="auto"/>
        <w:right w:val="none" w:sz="0" w:space="0" w:color="auto"/>
      </w:divBdr>
    </w:div>
    <w:div w:id="453139258">
      <w:bodyDiv w:val="1"/>
      <w:marLeft w:val="0"/>
      <w:marRight w:val="0"/>
      <w:marTop w:val="0"/>
      <w:marBottom w:val="0"/>
      <w:divBdr>
        <w:top w:val="none" w:sz="0" w:space="0" w:color="auto"/>
        <w:left w:val="none" w:sz="0" w:space="0" w:color="auto"/>
        <w:bottom w:val="none" w:sz="0" w:space="0" w:color="auto"/>
        <w:right w:val="none" w:sz="0" w:space="0" w:color="auto"/>
      </w:divBdr>
    </w:div>
    <w:div w:id="531528838">
      <w:bodyDiv w:val="1"/>
      <w:marLeft w:val="0"/>
      <w:marRight w:val="0"/>
      <w:marTop w:val="0"/>
      <w:marBottom w:val="0"/>
      <w:divBdr>
        <w:top w:val="none" w:sz="0" w:space="0" w:color="auto"/>
        <w:left w:val="none" w:sz="0" w:space="0" w:color="auto"/>
        <w:bottom w:val="none" w:sz="0" w:space="0" w:color="auto"/>
        <w:right w:val="none" w:sz="0" w:space="0" w:color="auto"/>
      </w:divBdr>
    </w:div>
    <w:div w:id="716927845">
      <w:bodyDiv w:val="1"/>
      <w:marLeft w:val="0"/>
      <w:marRight w:val="0"/>
      <w:marTop w:val="0"/>
      <w:marBottom w:val="0"/>
      <w:divBdr>
        <w:top w:val="none" w:sz="0" w:space="0" w:color="auto"/>
        <w:left w:val="none" w:sz="0" w:space="0" w:color="auto"/>
        <w:bottom w:val="none" w:sz="0" w:space="0" w:color="auto"/>
        <w:right w:val="none" w:sz="0" w:space="0" w:color="auto"/>
      </w:divBdr>
    </w:div>
    <w:div w:id="961960442">
      <w:bodyDiv w:val="1"/>
      <w:marLeft w:val="0"/>
      <w:marRight w:val="0"/>
      <w:marTop w:val="0"/>
      <w:marBottom w:val="0"/>
      <w:divBdr>
        <w:top w:val="none" w:sz="0" w:space="0" w:color="auto"/>
        <w:left w:val="none" w:sz="0" w:space="0" w:color="auto"/>
        <w:bottom w:val="none" w:sz="0" w:space="0" w:color="auto"/>
        <w:right w:val="none" w:sz="0" w:space="0" w:color="auto"/>
      </w:divBdr>
    </w:div>
    <w:div w:id="1069381081">
      <w:bodyDiv w:val="1"/>
      <w:marLeft w:val="0"/>
      <w:marRight w:val="0"/>
      <w:marTop w:val="0"/>
      <w:marBottom w:val="0"/>
      <w:divBdr>
        <w:top w:val="none" w:sz="0" w:space="0" w:color="auto"/>
        <w:left w:val="none" w:sz="0" w:space="0" w:color="auto"/>
        <w:bottom w:val="none" w:sz="0" w:space="0" w:color="auto"/>
        <w:right w:val="none" w:sz="0" w:space="0" w:color="auto"/>
      </w:divBdr>
    </w:div>
    <w:div w:id="1483543356">
      <w:bodyDiv w:val="1"/>
      <w:marLeft w:val="0"/>
      <w:marRight w:val="0"/>
      <w:marTop w:val="0"/>
      <w:marBottom w:val="0"/>
      <w:divBdr>
        <w:top w:val="none" w:sz="0" w:space="0" w:color="auto"/>
        <w:left w:val="none" w:sz="0" w:space="0" w:color="auto"/>
        <w:bottom w:val="none" w:sz="0" w:space="0" w:color="auto"/>
        <w:right w:val="none" w:sz="0" w:space="0" w:color="auto"/>
      </w:divBdr>
    </w:div>
    <w:div w:id="1573856554">
      <w:bodyDiv w:val="1"/>
      <w:marLeft w:val="0"/>
      <w:marRight w:val="0"/>
      <w:marTop w:val="0"/>
      <w:marBottom w:val="0"/>
      <w:divBdr>
        <w:top w:val="none" w:sz="0" w:space="0" w:color="auto"/>
        <w:left w:val="none" w:sz="0" w:space="0" w:color="auto"/>
        <w:bottom w:val="none" w:sz="0" w:space="0" w:color="auto"/>
        <w:right w:val="none" w:sz="0" w:space="0" w:color="auto"/>
      </w:divBdr>
    </w:div>
    <w:div w:id="1858763532">
      <w:bodyDiv w:val="1"/>
      <w:marLeft w:val="0"/>
      <w:marRight w:val="0"/>
      <w:marTop w:val="0"/>
      <w:marBottom w:val="0"/>
      <w:divBdr>
        <w:top w:val="none" w:sz="0" w:space="0" w:color="auto"/>
        <w:left w:val="none" w:sz="0" w:space="0" w:color="auto"/>
        <w:bottom w:val="none" w:sz="0" w:space="0" w:color="auto"/>
        <w:right w:val="none" w:sz="0" w:space="0" w:color="auto"/>
      </w:divBdr>
    </w:div>
    <w:div w:id="20933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pi.org.uk/publications-and-research/effects-high-quality-professional-development/?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endowmentfoundation.org.uk/public/files/Publications/Implementation/EEF-Implementation-Guidance-Report.pdf?utm_source=chatgpt.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00B724976C24DAFFCBFBD057543F1" ma:contentTypeVersion="11" ma:contentTypeDescription="Create a new document." ma:contentTypeScope="" ma:versionID="b5a59fec94f732e04c3f0317b5e51ffd">
  <xsd:schema xmlns:xsd="http://www.w3.org/2001/XMLSchema" xmlns:xs="http://www.w3.org/2001/XMLSchema" xmlns:p="http://schemas.microsoft.com/office/2006/metadata/properties" xmlns:ns2="ad811832-e4ec-4fa5-b9d1-50ebe378c79d" xmlns:ns3="94f2f651-6247-4d14-a51f-0e000900ada3" targetNamespace="http://schemas.microsoft.com/office/2006/metadata/properties" ma:root="true" ma:fieldsID="6a4257c40695fc435a3cef38d27b05a7" ns2:_="" ns3:_="">
    <xsd:import namespace="ad811832-e4ec-4fa5-b9d1-50ebe378c79d"/>
    <xsd:import namespace="94f2f651-6247-4d14-a51f-0e000900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1832-e4ec-4fa5-b9d1-50ebe378c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2f651-6247-4d14-a51f-0e000900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5b67df-7999-47b5-9331-795fa9bd0b5e}" ma:internalName="TaxCatchAll" ma:showField="CatchAllData" ma:web="94f2f651-6247-4d14-a51f-0e000900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11832-e4ec-4fa5-b9d1-50ebe378c79d">
      <Terms xmlns="http://schemas.microsoft.com/office/infopath/2007/PartnerControls"/>
    </lcf76f155ced4ddcb4097134ff3c332f>
    <TaxCatchAll xmlns="94f2f651-6247-4d14-a51f-0e000900ada3" xsi:nil="true"/>
  </documentManagement>
</p:properties>
</file>

<file path=customXml/itemProps1.xml><?xml version="1.0" encoding="utf-8"?>
<ds:datastoreItem xmlns:ds="http://schemas.openxmlformats.org/officeDocument/2006/customXml" ds:itemID="{2838FE90-57D9-4F60-867B-3888F2700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1832-e4ec-4fa5-b9d1-50ebe378c79d"/>
    <ds:schemaRef ds:uri="94f2f651-6247-4d14-a51f-0e000900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22A0E-BF51-4705-A0CA-E223ADF808A8}">
  <ds:schemaRefs>
    <ds:schemaRef ds:uri="http://schemas.openxmlformats.org/officeDocument/2006/bibliography"/>
  </ds:schemaRefs>
</ds:datastoreItem>
</file>

<file path=customXml/itemProps3.xml><?xml version="1.0" encoding="utf-8"?>
<ds:datastoreItem xmlns:ds="http://schemas.openxmlformats.org/officeDocument/2006/customXml" ds:itemID="{306290E5-D2C9-4EEB-AF9B-FCA6C5CF8F19}">
  <ds:schemaRefs>
    <ds:schemaRef ds:uri="http://schemas.microsoft.com/sharepoint/v3/contenttype/forms"/>
  </ds:schemaRefs>
</ds:datastoreItem>
</file>

<file path=customXml/itemProps4.xml><?xml version="1.0" encoding="utf-8"?>
<ds:datastoreItem xmlns:ds="http://schemas.openxmlformats.org/officeDocument/2006/customXml" ds:itemID="{20EA1D54-A1CD-4635-9E37-9378BC5A4153}">
  <ds:schemaRefs>
    <ds:schemaRef ds:uri="http://schemas.microsoft.com/office/2006/metadata/properties"/>
    <ds:schemaRef ds:uri="http://schemas.microsoft.com/office/infopath/2007/PartnerControls"/>
    <ds:schemaRef ds:uri="ad811832-e4ec-4fa5-b9d1-50ebe378c79d"/>
    <ds:schemaRef ds:uri="94f2f651-6247-4d14-a51f-0e000900ad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4598</Words>
  <Characters>26213</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STANDARD OPERATING PROCEDURES</vt:lpstr>
    </vt:vector>
  </TitlesOfParts>
  <Company>Baglan IT</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dc:title>
  <dc:subject/>
  <dc:creator>Liz Curson</dc:creator>
  <cp:keywords/>
  <cp:lastModifiedBy>K Davies (Cilffriw Primary School)</cp:lastModifiedBy>
  <cp:revision>2</cp:revision>
  <cp:lastPrinted>2025-11-23T15:51:00Z</cp:lastPrinted>
  <dcterms:created xsi:type="dcterms:W3CDTF">2025-11-24T12:09:00Z</dcterms:created>
  <dcterms:modified xsi:type="dcterms:W3CDTF">2025-11-24T12:09:00Z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0x010100BD500B724976C24DAFFCBFBD057543F1</vt:lpwstr>
  </property>
</Properties>
</file>